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6D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C8095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856E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7CF51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邀请函</w:t>
      </w:r>
    </w:p>
    <w:p w14:paraId="2EB5ED41">
      <w:pPr>
        <w:jc w:val="center"/>
        <w:rPr>
          <w:rFonts w:hint="eastAsia" w:ascii="黑体" w:hAnsi="黑体" w:eastAsia="黑体"/>
          <w:sz w:val="36"/>
          <w:szCs w:val="36"/>
          <w:highlight w:val="none"/>
          <w:lang w:eastAsia="zh-CN"/>
        </w:rPr>
      </w:pPr>
    </w:p>
    <w:p w14:paraId="1C237B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中证中小投资者服务中心就“公务用车2026年度车险采购项目”进行竞争性谈判，现邀请贵公司参加谈判。具体要求见附件。</w:t>
      </w:r>
    </w:p>
    <w:p w14:paraId="515799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8855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附件：公务用车2026年度车险采购竞争性谈判文件</w:t>
      </w:r>
    </w:p>
    <w:p w14:paraId="45DF8F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492A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中证中小投资者服务中心有限责任公司</w:t>
      </w:r>
    </w:p>
    <w:p w14:paraId="5D13F7BE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黑体" w:hAnsi="黑体" w:eastAsia="黑体"/>
          <w:sz w:val="36"/>
          <w:szCs w:val="36"/>
          <w:highlight w:val="none"/>
          <w:lang w:val="en-US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2026年1月23日      </w:t>
      </w:r>
    </w:p>
    <w:p w14:paraId="5EDB08F2">
      <w:pPr>
        <w:jc w:val="center"/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</w:pPr>
    </w:p>
    <w:p w14:paraId="56CCE962">
      <w:pPr>
        <w:jc w:val="center"/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</w:pPr>
    </w:p>
    <w:p w14:paraId="5CE4A399">
      <w:pPr>
        <w:jc w:val="center"/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  <w:t>中证中小投资者服务中心</w:t>
      </w:r>
    </w:p>
    <w:p w14:paraId="2EDE3502">
      <w:pPr>
        <w:jc w:val="center"/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  <w:t>公务用车2026年度车险采购项目</w:t>
      </w:r>
    </w:p>
    <w:p w14:paraId="687E6233">
      <w:pPr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竞争性</w:t>
      </w:r>
      <w:r>
        <w:rPr>
          <w:rFonts w:hint="eastAsia" w:ascii="黑体" w:hAnsi="黑体" w:eastAsia="黑体"/>
          <w:b/>
          <w:sz w:val="36"/>
          <w:szCs w:val="36"/>
          <w:highlight w:val="none"/>
          <w:lang w:eastAsia="zh-CN"/>
        </w:rPr>
        <w:t>谈判</w:t>
      </w:r>
      <w:r>
        <w:rPr>
          <w:rFonts w:hint="eastAsia" w:ascii="黑体" w:hAnsi="黑体" w:eastAsia="黑体"/>
          <w:b/>
          <w:sz w:val="36"/>
          <w:szCs w:val="36"/>
          <w:highlight w:val="none"/>
        </w:rPr>
        <w:t>文件</w:t>
      </w:r>
    </w:p>
    <w:p w14:paraId="29472628">
      <w:pPr>
        <w:rPr>
          <w:rFonts w:ascii="黑体" w:hAnsi="黑体" w:eastAsia="黑体"/>
          <w:sz w:val="36"/>
          <w:szCs w:val="36"/>
          <w:highlight w:val="none"/>
        </w:rPr>
      </w:pPr>
    </w:p>
    <w:p w14:paraId="3921D8BC">
      <w:pPr>
        <w:jc w:val="center"/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</w:pPr>
    </w:p>
    <w:p w14:paraId="3196DD07">
      <w:pPr>
        <w:jc w:val="center"/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</w:pPr>
    </w:p>
    <w:p w14:paraId="029B94E8">
      <w:pPr>
        <w:jc w:val="both"/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</w:pPr>
    </w:p>
    <w:p w14:paraId="5CE02574">
      <w:pPr>
        <w:jc w:val="center"/>
        <w:rPr>
          <w:rFonts w:ascii="黑体" w:hAnsi="黑体" w:eastAsia="黑体"/>
          <w:sz w:val="36"/>
          <w:szCs w:val="36"/>
          <w:highlight w:val="none"/>
        </w:rPr>
      </w:pPr>
    </w:p>
    <w:p w14:paraId="03ABAA5A">
      <w:pPr>
        <w:jc w:val="center"/>
        <w:rPr>
          <w:rFonts w:ascii="黑体" w:hAnsi="黑体" w:eastAsia="黑体"/>
          <w:sz w:val="36"/>
          <w:szCs w:val="36"/>
          <w:highlight w:val="none"/>
        </w:rPr>
      </w:pPr>
    </w:p>
    <w:p w14:paraId="7E3E78EA">
      <w:pPr>
        <w:jc w:val="center"/>
        <w:rPr>
          <w:rFonts w:ascii="黑体" w:hAnsi="黑体" w:eastAsia="黑体"/>
          <w:sz w:val="28"/>
          <w:szCs w:val="28"/>
          <w:highlight w:val="none"/>
        </w:rPr>
      </w:pPr>
    </w:p>
    <w:p w14:paraId="3628C67B">
      <w:pPr>
        <w:widowControl/>
        <w:jc w:val="center"/>
        <w:rPr>
          <w:rFonts w:ascii="仿宋_GB2312" w:hAnsi="黑体" w:eastAsia="仿宋_GB2312"/>
          <w:b/>
          <w:sz w:val="28"/>
          <w:szCs w:val="28"/>
          <w:highlight w:val="none"/>
        </w:rPr>
      </w:pPr>
      <w:bookmarkStart w:id="16" w:name="_GoBack"/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采购项目名称：</w:t>
      </w:r>
      <w:r>
        <w:rPr>
          <w:rFonts w:hint="eastAsia" w:ascii="仿宋_GB2312" w:hAnsi="黑体" w:eastAsia="仿宋_GB2312"/>
          <w:b/>
          <w:sz w:val="28"/>
          <w:szCs w:val="28"/>
          <w:highlight w:val="none"/>
          <w:lang w:val="en-US" w:eastAsia="zh-CN"/>
        </w:rPr>
        <w:t>公务用车2026年度车险采购项目</w:t>
      </w:r>
    </w:p>
    <w:p w14:paraId="03999CC3">
      <w:pPr>
        <w:ind w:left="1124" w:hanging="1124" w:hangingChars="400"/>
        <w:jc w:val="center"/>
        <w:rPr>
          <w:rFonts w:hint="eastAsia" w:ascii="仿宋_GB2312" w:hAnsi="黑体" w:eastAsia="仿宋_GB2312"/>
          <w:b/>
          <w:sz w:val="28"/>
          <w:szCs w:val="28"/>
          <w:highlight w:val="none"/>
          <w:lang w:eastAsia="zh-CN"/>
        </w:rPr>
      </w:pPr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采购</w:t>
      </w:r>
      <w:r>
        <w:rPr>
          <w:rFonts w:hint="eastAsia" w:ascii="仿宋_GB2312" w:hAnsi="黑体" w:eastAsia="仿宋_GB2312"/>
          <w:b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：</w:t>
      </w:r>
      <w:r>
        <w:rPr>
          <w:rFonts w:hint="eastAsia" w:ascii="仿宋_GB2312" w:hAnsi="黑体" w:eastAsia="仿宋_GB2312"/>
          <w:b/>
          <w:sz w:val="28"/>
          <w:szCs w:val="28"/>
          <w:highlight w:val="none"/>
          <w:lang w:eastAsia="zh-CN"/>
        </w:rPr>
        <w:t>中证中小投资者服务中心有限责任公司</w:t>
      </w:r>
    </w:p>
    <w:bookmarkEnd w:id="16"/>
    <w:p w14:paraId="6E601F02">
      <w:pPr>
        <w:jc w:val="left"/>
        <w:rPr>
          <w:rFonts w:ascii="仿宋_GB2312" w:hAnsi="黑体" w:eastAsia="仿宋_GB2312"/>
          <w:sz w:val="28"/>
          <w:szCs w:val="28"/>
          <w:highlight w:val="none"/>
        </w:rPr>
      </w:pPr>
    </w:p>
    <w:p w14:paraId="6D02A4F2">
      <w:pPr>
        <w:jc w:val="left"/>
        <w:rPr>
          <w:rFonts w:ascii="仿宋_GB2312" w:hAnsi="黑体" w:eastAsia="仿宋_GB2312"/>
          <w:sz w:val="28"/>
          <w:szCs w:val="28"/>
          <w:highlight w:val="none"/>
        </w:rPr>
      </w:pPr>
    </w:p>
    <w:p w14:paraId="004EF810">
      <w:pPr>
        <w:jc w:val="left"/>
        <w:rPr>
          <w:rFonts w:ascii="仿宋_GB2312" w:hAnsi="黑体" w:eastAsia="仿宋_GB2312"/>
          <w:sz w:val="28"/>
          <w:szCs w:val="28"/>
          <w:highlight w:val="none"/>
        </w:rPr>
      </w:pPr>
    </w:p>
    <w:p w14:paraId="455298AE">
      <w:pPr>
        <w:jc w:val="left"/>
        <w:rPr>
          <w:rFonts w:ascii="仿宋_GB2312" w:hAnsi="黑体" w:eastAsia="仿宋_GB2312"/>
          <w:sz w:val="28"/>
          <w:szCs w:val="28"/>
          <w:highlight w:val="none"/>
        </w:rPr>
      </w:pPr>
    </w:p>
    <w:p w14:paraId="01F69B10">
      <w:pPr>
        <w:jc w:val="center"/>
        <w:rPr>
          <w:rFonts w:hint="eastAsia" w:ascii="仿宋_GB2312" w:hAnsi="黑体" w:eastAsia="仿宋_GB2312"/>
          <w:b/>
          <w:color w:val="auto"/>
          <w:sz w:val="28"/>
          <w:szCs w:val="28"/>
          <w:highlight w:val="none"/>
          <w:lang w:eastAsia="zh-CN"/>
        </w:rPr>
      </w:pPr>
      <w:bookmarkStart w:id="0" w:name="OLE_LINK3"/>
      <w:r>
        <w:rPr>
          <w:rFonts w:hint="eastAsia" w:ascii="仿宋_GB2312" w:hAnsi="黑体" w:eastAsia="仿宋_GB2312"/>
          <w:b/>
          <w:color w:val="auto"/>
          <w:sz w:val="28"/>
          <w:szCs w:val="28"/>
          <w:highlight w:val="none"/>
          <w:lang w:eastAsia="zh-CN"/>
        </w:rPr>
        <w:t>中证中小投资者服务中心有限责任公司</w:t>
      </w:r>
    </w:p>
    <w:bookmarkEnd w:id="0"/>
    <w:p w14:paraId="316D9A03">
      <w:pPr>
        <w:jc w:val="center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b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年</w:t>
      </w:r>
      <w:r>
        <w:rPr>
          <w:rFonts w:hint="eastAsia" w:ascii="仿宋_GB2312" w:hAnsi="黑体" w:eastAsia="仿宋_GB2312"/>
          <w:b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月</w:t>
      </w:r>
      <w:r>
        <w:rPr>
          <w:rFonts w:ascii="仿宋_GB2312" w:hAnsi="黑体" w:eastAsia="仿宋_GB2312"/>
          <w:sz w:val="28"/>
          <w:szCs w:val="28"/>
          <w:highlight w:val="none"/>
        </w:rPr>
        <w:br w:type="page"/>
      </w:r>
    </w:p>
    <w:p w14:paraId="12B13E80">
      <w:pPr>
        <w:pStyle w:val="18"/>
        <w:widowControl/>
        <w:numPr>
          <w:ilvl w:val="0"/>
          <w:numId w:val="1"/>
        </w:numPr>
        <w:spacing w:line="600" w:lineRule="exact"/>
        <w:ind w:firstLineChars="0"/>
        <w:jc w:val="center"/>
        <w:outlineLvl w:val="0"/>
        <w:rPr>
          <w:rFonts w:ascii="仿宋_GB2312" w:hAnsi="黑体" w:eastAsia="仿宋_GB2312"/>
          <w:b/>
          <w:sz w:val="28"/>
          <w:szCs w:val="28"/>
          <w:highlight w:val="none"/>
        </w:rPr>
      </w:pPr>
      <w:bookmarkStart w:id="1" w:name="_Toc11164"/>
      <w:r>
        <w:rPr>
          <w:rFonts w:hint="eastAsia" w:ascii="仿宋_GB2312" w:hAnsi="黑体" w:eastAsia="仿宋_GB2312"/>
          <w:b/>
          <w:sz w:val="28"/>
          <w:szCs w:val="28"/>
          <w:highlight w:val="none"/>
          <w:lang w:eastAsia="zh-CN"/>
        </w:rPr>
        <w:t>谈判</w:t>
      </w:r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邀请</w:t>
      </w:r>
      <w:bookmarkEnd w:id="1"/>
    </w:p>
    <w:p w14:paraId="2ECB33C5">
      <w:pPr>
        <w:pStyle w:val="18"/>
        <w:widowControl/>
        <w:numPr>
          <w:ilvl w:val="0"/>
          <w:numId w:val="2"/>
        </w:numPr>
        <w:spacing w:line="600" w:lineRule="exact"/>
        <w:ind w:firstLineChars="0"/>
        <w:outlineLvl w:val="1"/>
        <w:rPr>
          <w:rFonts w:ascii="仿宋_GB2312" w:hAnsi="黑体" w:eastAsia="仿宋_GB2312"/>
          <w:b/>
          <w:bCs/>
          <w:sz w:val="28"/>
          <w:szCs w:val="28"/>
          <w:highlight w:val="none"/>
        </w:rPr>
      </w:pPr>
      <w:bookmarkStart w:id="2" w:name="_Toc30017"/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  <w:t>采购方式</w:t>
      </w:r>
      <w:bookmarkEnd w:id="2"/>
    </w:p>
    <w:p w14:paraId="3BDBADB1">
      <w:pPr>
        <w:pStyle w:val="18"/>
        <w:widowControl/>
        <w:spacing w:line="600" w:lineRule="exact"/>
        <w:ind w:firstLine="560"/>
        <w:rPr>
          <w:rFonts w:ascii="仿宋_GB2312" w:hAnsi="黑体" w:eastAsia="仿宋_GB2312"/>
          <w:sz w:val="30"/>
          <w:szCs w:val="30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中证中小投资者服务中心</w:t>
      </w:r>
      <w:r>
        <w:rPr>
          <w:rFonts w:hint="eastAsia" w:ascii="仿宋_GB2312" w:hAnsi="黑体" w:eastAsia="仿宋_GB2312"/>
          <w:sz w:val="30"/>
          <w:szCs w:val="30"/>
          <w:highlight w:val="none"/>
          <w:lang w:eastAsia="zh-CN"/>
        </w:rPr>
        <w:t>公务用车2026年度车险采购项目</w:t>
      </w:r>
      <w:r>
        <w:rPr>
          <w:rFonts w:hint="eastAsia" w:ascii="仿宋_GB2312" w:hAnsi="黑体" w:eastAsia="仿宋_GB2312"/>
          <w:sz w:val="30"/>
          <w:szCs w:val="30"/>
          <w:highlight w:val="none"/>
        </w:rPr>
        <w:t>以竞争性</w:t>
      </w:r>
      <w:r>
        <w:rPr>
          <w:rFonts w:hint="eastAsia" w:ascii="仿宋_GB2312" w:hAnsi="黑体" w:eastAsia="仿宋_GB2312"/>
          <w:sz w:val="30"/>
          <w:szCs w:val="30"/>
          <w:highlight w:val="none"/>
          <w:lang w:eastAsia="zh-CN"/>
        </w:rPr>
        <w:t>谈判</w:t>
      </w:r>
      <w:r>
        <w:rPr>
          <w:rFonts w:hint="eastAsia" w:ascii="仿宋_GB2312" w:hAnsi="黑体" w:eastAsia="仿宋_GB2312"/>
          <w:sz w:val="30"/>
          <w:szCs w:val="30"/>
          <w:highlight w:val="none"/>
        </w:rPr>
        <w:t>方式采购，邀请符合条件的供应商参加</w:t>
      </w:r>
      <w:r>
        <w:rPr>
          <w:rFonts w:hint="eastAsia" w:ascii="仿宋_GB2312" w:hAnsi="黑体" w:eastAsia="仿宋_GB2312"/>
          <w:sz w:val="30"/>
          <w:szCs w:val="30"/>
          <w:highlight w:val="none"/>
          <w:lang w:eastAsia="zh-CN"/>
        </w:rPr>
        <w:t>谈判</w:t>
      </w:r>
      <w:r>
        <w:rPr>
          <w:rFonts w:hint="eastAsia" w:ascii="仿宋_GB2312" w:hAnsi="黑体" w:eastAsia="仿宋_GB2312"/>
          <w:sz w:val="30"/>
          <w:szCs w:val="30"/>
          <w:highlight w:val="none"/>
        </w:rPr>
        <w:t>。</w:t>
      </w:r>
    </w:p>
    <w:p w14:paraId="3022CD52">
      <w:pPr>
        <w:pStyle w:val="18"/>
        <w:widowControl/>
        <w:numPr>
          <w:ilvl w:val="0"/>
          <w:numId w:val="2"/>
        </w:numPr>
        <w:spacing w:line="600" w:lineRule="exact"/>
        <w:ind w:firstLineChars="0"/>
        <w:outlineLvl w:val="1"/>
        <w:rPr>
          <w:rFonts w:ascii="仿宋_GB2312" w:hAnsi="黑体" w:eastAsia="仿宋_GB2312"/>
          <w:b/>
          <w:bCs/>
          <w:sz w:val="28"/>
          <w:szCs w:val="28"/>
          <w:highlight w:val="none"/>
        </w:rPr>
      </w:pPr>
      <w:bookmarkStart w:id="3" w:name="_Toc18627"/>
      <w:r>
        <w:rPr>
          <w:rFonts w:hint="eastAsia" w:ascii="仿宋_GB2312" w:hAnsi="黑体" w:eastAsia="仿宋_GB2312"/>
          <w:b/>
          <w:bCs/>
          <w:sz w:val="30"/>
          <w:szCs w:val="30"/>
          <w:highlight w:val="none"/>
        </w:rPr>
        <w:t>采购项目概况</w:t>
      </w:r>
      <w:bookmarkEnd w:id="3"/>
    </w:p>
    <w:p w14:paraId="3DF0D59F">
      <w:pPr>
        <w:pStyle w:val="18"/>
        <w:widowControl/>
        <w:numPr>
          <w:ilvl w:val="0"/>
          <w:numId w:val="3"/>
        </w:numPr>
        <w:spacing w:line="600" w:lineRule="exact"/>
        <w:ind w:firstLineChars="0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采购项目名称：</w:t>
      </w:r>
      <w:r>
        <w:rPr>
          <w:rFonts w:hint="eastAsia" w:ascii="仿宋_GB2312" w:hAnsi="黑体" w:eastAsia="仿宋_GB2312"/>
          <w:sz w:val="30"/>
          <w:szCs w:val="30"/>
          <w:highlight w:val="none"/>
          <w:lang w:eastAsia="zh-CN"/>
        </w:rPr>
        <w:t>公务用车2026年度车险采购项目</w:t>
      </w:r>
    </w:p>
    <w:p w14:paraId="03B090D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both"/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采购内容：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沪APWP676和沪APY730两辆公务用车车险。</w:t>
      </w:r>
    </w:p>
    <w:p w14:paraId="261729E9">
      <w:pPr>
        <w:jc w:val="left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 w:cstheme="minorBidi"/>
          <w:kern w:val="2"/>
          <w:sz w:val="28"/>
          <w:szCs w:val="28"/>
          <w:highlight w:val="none"/>
          <w:lang w:val="en-US" w:eastAsia="zh-CN" w:bidi="ar-SA"/>
        </w:rPr>
        <w:t>保险期限：1年。</w:t>
      </w:r>
    </w:p>
    <w:p w14:paraId="7C87F33B">
      <w:pPr>
        <w:pStyle w:val="18"/>
        <w:widowControl/>
        <w:numPr>
          <w:ilvl w:val="0"/>
          <w:numId w:val="3"/>
        </w:numPr>
        <w:spacing w:line="600" w:lineRule="exact"/>
        <w:ind w:firstLineChars="0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采购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：</w:t>
      </w:r>
      <w:bookmarkStart w:id="4" w:name="OLE_LINK4"/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中证中小投资者服务中心有限责任公司</w:t>
      </w:r>
      <w:bookmarkEnd w:id="4"/>
    </w:p>
    <w:p w14:paraId="2EA83C13">
      <w:pPr>
        <w:pStyle w:val="18"/>
        <w:widowControl/>
        <w:numPr>
          <w:ilvl w:val="0"/>
          <w:numId w:val="2"/>
        </w:numPr>
        <w:spacing w:line="600" w:lineRule="exact"/>
        <w:ind w:firstLineChars="0"/>
        <w:outlineLvl w:val="1"/>
        <w:rPr>
          <w:rFonts w:ascii="仿宋_GB2312" w:hAnsi="黑体" w:eastAsia="仿宋_GB2312"/>
          <w:b/>
          <w:bCs/>
          <w:sz w:val="28"/>
          <w:szCs w:val="28"/>
          <w:highlight w:val="none"/>
        </w:rPr>
      </w:pPr>
      <w:bookmarkStart w:id="5" w:name="_Toc24608"/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  <w:t>提交响应文件及竞争性</w:t>
      </w:r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  <w:lang w:eastAsia="zh-CN"/>
        </w:rPr>
        <w:t>谈判</w:t>
      </w:r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  <w:t>的时间和地点</w:t>
      </w:r>
      <w:bookmarkEnd w:id="5"/>
    </w:p>
    <w:p w14:paraId="2B49BB03">
      <w:pPr>
        <w:pStyle w:val="18"/>
        <w:widowControl/>
        <w:numPr>
          <w:ilvl w:val="0"/>
          <w:numId w:val="4"/>
        </w:numPr>
        <w:spacing w:line="600" w:lineRule="exact"/>
        <w:ind w:left="0" w:firstLine="0" w:firstLineChars="0"/>
        <w:rPr>
          <w:rFonts w:hint="eastAsia"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截止时间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竞争性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谈判日期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：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2026年1月28日</w:t>
      </w:r>
    </w:p>
    <w:p w14:paraId="2F1CEBB0">
      <w:pPr>
        <w:pStyle w:val="18"/>
        <w:widowControl/>
        <w:numPr>
          <w:ilvl w:val="0"/>
          <w:numId w:val="4"/>
        </w:numPr>
        <w:spacing w:line="600" w:lineRule="exact"/>
        <w:ind w:left="0" w:firstLine="0" w:firstLineChars="0"/>
        <w:rPr>
          <w:rFonts w:hint="default" w:ascii="仿宋_GB2312" w:hAnsi="黑体" w:eastAsia="仿宋_GB2312"/>
          <w:sz w:val="28"/>
          <w:szCs w:val="28"/>
          <w:highlight w:val="none"/>
          <w:lang w:val="en-US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提交响应文件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竞争性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谈判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地点：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上海市浦东新区杨高南路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288号15层</w:t>
      </w:r>
    </w:p>
    <w:p w14:paraId="5173492B">
      <w:pPr>
        <w:pStyle w:val="18"/>
        <w:widowControl/>
        <w:numPr>
          <w:ilvl w:val="0"/>
          <w:numId w:val="4"/>
        </w:numPr>
        <w:spacing w:line="600" w:lineRule="exact"/>
        <w:ind w:left="0" w:firstLine="0" w:firstLineChars="0"/>
        <w:rPr>
          <w:rFonts w:hint="default" w:ascii="仿宋_GB2312" w:hAnsi="黑体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联系人：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邢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老师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 xml:space="preserve"> </w:t>
      </w:r>
    </w:p>
    <w:p w14:paraId="20454B22">
      <w:pPr>
        <w:pStyle w:val="18"/>
        <w:widowControl/>
        <w:numPr>
          <w:ilvl w:val="0"/>
          <w:numId w:val="0"/>
        </w:numPr>
        <w:spacing w:line="600" w:lineRule="exact"/>
        <w:ind w:leftChars="0" w:firstLine="840" w:firstLineChars="300"/>
        <w:rPr>
          <w:rFonts w:hint="default" w:ascii="仿宋_GB2312" w:hAnsi="黑体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电话：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021-51916862</w:t>
      </w:r>
    </w:p>
    <w:p w14:paraId="0830B9C2">
      <w:pPr>
        <w:pStyle w:val="18"/>
        <w:widowControl/>
        <w:numPr>
          <w:ilvl w:val="0"/>
          <w:numId w:val="2"/>
        </w:numPr>
        <w:spacing w:line="600" w:lineRule="exact"/>
        <w:ind w:firstLineChars="0"/>
        <w:outlineLvl w:val="1"/>
        <w:rPr>
          <w:rFonts w:ascii="仿宋_GB2312" w:hAnsi="黑体" w:eastAsia="仿宋_GB2312"/>
          <w:b/>
          <w:bCs/>
          <w:sz w:val="28"/>
          <w:szCs w:val="28"/>
          <w:highlight w:val="none"/>
        </w:rPr>
      </w:pPr>
      <w:bookmarkStart w:id="6" w:name="_Toc15057"/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  <w:t>其他相关说明</w:t>
      </w:r>
      <w:bookmarkEnd w:id="6"/>
    </w:p>
    <w:p w14:paraId="05947D00">
      <w:pPr>
        <w:pStyle w:val="18"/>
        <w:widowControl/>
        <w:spacing w:line="600" w:lineRule="exact"/>
        <w:ind w:left="420" w:firstLine="0" w:firstLineChars="0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本次采购活动未尽事宜的解释权属于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中证中小投资者服务中心有限责任公司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。</w:t>
      </w:r>
    </w:p>
    <w:p w14:paraId="5A07B100">
      <w:pPr>
        <w:pStyle w:val="18"/>
        <w:widowControl/>
        <w:spacing w:line="600" w:lineRule="exact"/>
        <w:ind w:left="420" w:firstLine="0" w:firstLineChars="0"/>
        <w:rPr>
          <w:rFonts w:ascii="仿宋_GB2312" w:hAnsi="黑体" w:eastAsia="仿宋_GB2312"/>
          <w:sz w:val="28"/>
          <w:szCs w:val="28"/>
          <w:highlight w:val="none"/>
        </w:rPr>
      </w:pPr>
    </w:p>
    <w:p w14:paraId="6A3470B2">
      <w:pPr>
        <w:pStyle w:val="18"/>
        <w:widowControl/>
        <w:spacing w:line="600" w:lineRule="exact"/>
        <w:ind w:left="420" w:firstLine="0" w:firstLineChars="0"/>
        <w:rPr>
          <w:rFonts w:ascii="仿宋_GB2312" w:hAnsi="黑体" w:eastAsia="仿宋_GB2312"/>
          <w:sz w:val="28"/>
          <w:szCs w:val="28"/>
          <w:highlight w:val="none"/>
        </w:rPr>
      </w:pPr>
    </w:p>
    <w:p w14:paraId="13A4F8CE">
      <w:pPr>
        <w:pStyle w:val="18"/>
        <w:widowControl/>
        <w:numPr>
          <w:ilvl w:val="0"/>
          <w:numId w:val="1"/>
        </w:numPr>
        <w:spacing w:line="600" w:lineRule="exact"/>
        <w:ind w:firstLineChars="0"/>
        <w:jc w:val="center"/>
        <w:outlineLvl w:val="0"/>
        <w:rPr>
          <w:rFonts w:ascii="仿宋_GB2312" w:hAnsi="黑体" w:eastAsia="仿宋_GB2312"/>
          <w:b/>
          <w:sz w:val="28"/>
          <w:szCs w:val="28"/>
          <w:highlight w:val="none"/>
        </w:rPr>
      </w:pPr>
      <w:bookmarkStart w:id="7" w:name="_Toc1303"/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采购内容及要求</w:t>
      </w:r>
      <w:bookmarkEnd w:id="7"/>
    </w:p>
    <w:p w14:paraId="318A8DED">
      <w:pPr>
        <w:pStyle w:val="18"/>
        <w:widowControl/>
        <w:spacing w:line="600" w:lineRule="exact"/>
        <w:ind w:left="420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  <w:t>一、项目需求</w:t>
      </w:r>
    </w:p>
    <w:p w14:paraId="5E796B8A">
      <w:pPr>
        <w:pStyle w:val="18"/>
        <w:widowControl/>
        <w:spacing w:line="600" w:lineRule="exact"/>
        <w:ind w:left="420"/>
        <w:rPr>
          <w:rFonts w:hint="eastAsia" w:ascii="仿宋_GB2312" w:hAnsi="黑体" w:eastAsia="仿宋_GB2312" w:cstheme="minorBidi"/>
          <w:sz w:val="28"/>
          <w:szCs w:val="28"/>
          <w:highlight w:val="none"/>
        </w:rPr>
      </w:pPr>
      <w:r>
        <w:rPr>
          <w:rFonts w:hint="eastAsia" w:ascii="仿宋_GB2312" w:hAnsi="黑体" w:eastAsia="仿宋_GB2312" w:cstheme="minorBidi"/>
          <w:b w:val="0"/>
          <w:bCs w:val="0"/>
          <w:sz w:val="28"/>
          <w:szCs w:val="28"/>
          <w:highlight w:val="none"/>
          <w:lang w:eastAsia="zh-CN"/>
        </w:rPr>
        <w:t>1</w:t>
      </w:r>
      <w:r>
        <w:rPr>
          <w:rFonts w:hint="eastAsia" w:ascii="仿宋_GB2312" w:hAnsi="黑体" w:eastAsia="仿宋_GB2312" w:cstheme="minorBidi"/>
          <w:b w:val="0"/>
          <w:bCs w:val="0"/>
          <w:sz w:val="28"/>
          <w:szCs w:val="28"/>
          <w:highlight w:val="none"/>
        </w:rPr>
        <w:t>、</w:t>
      </w:r>
      <w:r>
        <w:rPr>
          <w:rFonts w:hint="eastAsia" w:ascii="仿宋_GB2312" w:hAnsi="黑体" w:eastAsia="仿宋_GB2312" w:cstheme="minorBidi"/>
          <w:b w:val="0"/>
          <w:bCs w:val="0"/>
          <w:sz w:val="28"/>
          <w:szCs w:val="28"/>
          <w:highlight w:val="none"/>
          <w:lang w:eastAsia="zh-CN"/>
        </w:rPr>
        <w:t>供应商需按要求提供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沪APWP676和沪APY730两辆公务用车的机动车损失险、机动车第三者责任保险（保额300万元）、附加医保外医疗费用责任险、车船税和机动车交通事故责任强制险报价。</w:t>
      </w:r>
    </w:p>
    <w:p w14:paraId="312FA6AB">
      <w:pPr>
        <w:pStyle w:val="18"/>
        <w:widowControl/>
        <w:spacing w:line="600" w:lineRule="exact"/>
        <w:ind w:left="420"/>
        <w:rPr>
          <w:rFonts w:hint="eastAsia" w:ascii="黑体" w:hAnsi="黑体" w:eastAsia="黑体" w:cs="黑体"/>
          <w:b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sz w:val="28"/>
          <w:szCs w:val="28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b w:val="0"/>
          <w:sz w:val="28"/>
          <w:szCs w:val="28"/>
          <w:highlight w:val="none"/>
        </w:rPr>
        <w:t>、</w:t>
      </w:r>
      <w:r>
        <w:rPr>
          <w:rFonts w:hint="eastAsia" w:ascii="黑体" w:hAnsi="黑体" w:eastAsia="黑体" w:cs="黑体"/>
          <w:b w:val="0"/>
          <w:sz w:val="28"/>
          <w:szCs w:val="28"/>
          <w:highlight w:val="none"/>
          <w:lang w:eastAsia="zh-CN"/>
        </w:rPr>
        <w:t>费用</w:t>
      </w:r>
      <w:r>
        <w:rPr>
          <w:rFonts w:hint="eastAsia" w:ascii="黑体" w:hAnsi="黑体" w:eastAsia="黑体" w:cs="黑体"/>
          <w:b w:val="0"/>
          <w:sz w:val="28"/>
          <w:szCs w:val="28"/>
          <w:highlight w:val="none"/>
        </w:rPr>
        <w:t>结算及支付</w:t>
      </w:r>
    </w:p>
    <w:p w14:paraId="265FD6A1">
      <w:pPr>
        <w:pStyle w:val="18"/>
        <w:widowControl/>
        <w:spacing w:line="600" w:lineRule="exact"/>
        <w:ind w:left="420"/>
        <w:rPr>
          <w:rFonts w:hint="eastAsia" w:ascii="仿宋_GB2312" w:hAnsi="黑体" w:eastAsia="仿宋_GB2312" w:cstheme="minorBidi"/>
          <w:sz w:val="28"/>
          <w:szCs w:val="28"/>
          <w:highlight w:val="none"/>
        </w:rPr>
      </w:pPr>
      <w:r>
        <w:rPr>
          <w:rFonts w:hint="eastAsia" w:ascii="仿宋_GB2312" w:hAnsi="黑体" w:eastAsia="仿宋_GB2312" w:cstheme="minorBidi"/>
          <w:sz w:val="28"/>
          <w:szCs w:val="28"/>
          <w:highlight w:val="none"/>
          <w:lang w:val="en-US" w:eastAsia="zh-CN"/>
        </w:rPr>
        <w:t>1、采购方采购完成后一次性向供应商支付费用</w:t>
      </w:r>
      <w:r>
        <w:rPr>
          <w:rFonts w:hint="eastAsia" w:ascii="仿宋_GB2312" w:hAnsi="黑体" w:eastAsia="仿宋_GB2312" w:cstheme="minorBidi"/>
          <w:sz w:val="28"/>
          <w:szCs w:val="28"/>
          <w:highlight w:val="none"/>
        </w:rPr>
        <w:t>。</w:t>
      </w:r>
    </w:p>
    <w:p w14:paraId="20FD494A">
      <w:pPr>
        <w:adjustRightInd w:val="0"/>
        <w:snapToGrid w:val="0"/>
        <w:spacing w:line="360" w:lineRule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</w:pPr>
    </w:p>
    <w:p w14:paraId="40A9CB21">
      <w:pPr>
        <w:pStyle w:val="18"/>
        <w:widowControl/>
        <w:numPr>
          <w:ilvl w:val="0"/>
          <w:numId w:val="1"/>
        </w:numPr>
        <w:ind w:firstLineChars="0"/>
        <w:jc w:val="center"/>
        <w:outlineLvl w:val="0"/>
        <w:rPr>
          <w:rFonts w:ascii="仿宋_GB2312" w:hAnsi="黑体" w:eastAsia="仿宋_GB2312"/>
          <w:b/>
          <w:sz w:val="28"/>
          <w:szCs w:val="28"/>
          <w:highlight w:val="none"/>
        </w:rPr>
      </w:pPr>
      <w:bookmarkStart w:id="8" w:name="_Toc23559"/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供应商须知</w:t>
      </w:r>
      <w:bookmarkEnd w:id="8"/>
    </w:p>
    <w:p w14:paraId="6F441AED">
      <w:pPr>
        <w:pStyle w:val="18"/>
        <w:widowControl/>
        <w:numPr>
          <w:ilvl w:val="0"/>
          <w:numId w:val="0"/>
        </w:numPr>
        <w:ind w:leftChars="0"/>
        <w:jc w:val="both"/>
        <w:outlineLvl w:val="0"/>
        <w:rPr>
          <w:rFonts w:ascii="仿宋_GB2312" w:hAnsi="黑体" w:eastAsia="仿宋_GB2312"/>
          <w:b/>
          <w:sz w:val="28"/>
          <w:szCs w:val="28"/>
          <w:highlight w:val="none"/>
        </w:rPr>
      </w:pPr>
    </w:p>
    <w:p w14:paraId="5372801D">
      <w:pPr>
        <w:pStyle w:val="18"/>
        <w:widowControl/>
        <w:numPr>
          <w:ilvl w:val="0"/>
          <w:numId w:val="5"/>
        </w:numPr>
        <w:ind w:firstLineChars="0"/>
        <w:outlineLvl w:val="1"/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</w:pPr>
      <w:bookmarkStart w:id="9" w:name="_Toc6109"/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  <w:t>供应商资格</w:t>
      </w:r>
      <w:bookmarkEnd w:id="9"/>
    </w:p>
    <w:p w14:paraId="3178C70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60" w:firstLineChars="200"/>
        <w:textAlignment w:val="auto"/>
        <w:rPr>
          <w:rFonts w:hint="eastAsia"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供应商必须是经国务院保险监督管理机构批准设立，依法登记注册的保险公司，且营业范围包括汽车保险。</w:t>
      </w:r>
    </w:p>
    <w:p w14:paraId="54C3D95D">
      <w:pPr>
        <w:pStyle w:val="18"/>
        <w:widowControl/>
        <w:numPr>
          <w:ilvl w:val="0"/>
          <w:numId w:val="5"/>
        </w:numPr>
        <w:ind w:firstLineChars="0"/>
        <w:outlineLvl w:val="1"/>
        <w:rPr>
          <w:rFonts w:ascii="仿宋_GB2312" w:hAnsi="黑体" w:eastAsia="仿宋_GB2312"/>
          <w:b/>
          <w:bCs/>
          <w:sz w:val="28"/>
          <w:szCs w:val="28"/>
          <w:highlight w:val="none"/>
        </w:rPr>
      </w:pPr>
      <w:bookmarkStart w:id="10" w:name="_Toc25018"/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  <w:t>响应文件</w:t>
      </w:r>
      <w:bookmarkEnd w:id="10"/>
    </w:p>
    <w:p w14:paraId="3C9B63ED">
      <w:pPr>
        <w:pStyle w:val="18"/>
        <w:widowControl/>
        <w:numPr>
          <w:ilvl w:val="0"/>
          <w:numId w:val="0"/>
        </w:numPr>
        <w:ind w:leftChars="0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贵单位需根据本文件第二章《采购内容及要求》进行全面响应。</w:t>
      </w:r>
    </w:p>
    <w:p w14:paraId="69CE72C7">
      <w:pPr>
        <w:pStyle w:val="18"/>
        <w:widowControl/>
        <w:numPr>
          <w:ilvl w:val="0"/>
          <w:numId w:val="0"/>
        </w:numPr>
        <w:spacing w:line="600" w:lineRule="exact"/>
        <w:ind w:leftChars="0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贵单位需根据本文件第四章《响应文件要求》准备响应文件。响应文件提交截止时间前，贵单位可对所提交的响应文件进行补充、修改或撤回。补充、修改的内容将作为响应文件的组成部分。</w:t>
      </w:r>
    </w:p>
    <w:p w14:paraId="69D41965">
      <w:pPr>
        <w:pStyle w:val="18"/>
        <w:widowControl/>
        <w:numPr>
          <w:ilvl w:val="0"/>
          <w:numId w:val="5"/>
        </w:numPr>
        <w:spacing w:line="600" w:lineRule="exact"/>
        <w:ind w:firstLineChars="0"/>
        <w:outlineLvl w:val="1"/>
        <w:rPr>
          <w:rFonts w:ascii="仿宋_GB2312" w:hAnsi="黑体" w:eastAsia="仿宋_GB2312"/>
          <w:b/>
          <w:bCs/>
          <w:sz w:val="28"/>
          <w:szCs w:val="28"/>
          <w:highlight w:val="none"/>
        </w:rPr>
      </w:pPr>
      <w:bookmarkStart w:id="11" w:name="_Toc15794"/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  <w:t>竞争性</w:t>
      </w:r>
      <w:bookmarkEnd w:id="11"/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  <w:lang w:eastAsia="zh-CN"/>
        </w:rPr>
        <w:t>谈判</w:t>
      </w:r>
    </w:p>
    <w:p w14:paraId="763AB5E6">
      <w:pPr>
        <w:pStyle w:val="18"/>
        <w:widowControl/>
        <w:numPr>
          <w:ilvl w:val="0"/>
          <w:numId w:val="6"/>
        </w:numPr>
        <w:spacing w:line="600" w:lineRule="exact"/>
        <w:ind w:firstLineChars="0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会议组织</w:t>
      </w:r>
    </w:p>
    <w:p w14:paraId="326DC99F">
      <w:pPr>
        <w:pStyle w:val="18"/>
        <w:widowControl/>
        <w:spacing w:line="600" w:lineRule="exact"/>
        <w:ind w:firstLine="560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采购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负责召开竞争性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谈判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会议。供应商委派代表参加磋商会议，向采购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介绍服务方案并进行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商务谈判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。</w:t>
      </w:r>
    </w:p>
    <w:p w14:paraId="7E26725B">
      <w:pPr>
        <w:pStyle w:val="18"/>
        <w:widowControl/>
        <w:numPr>
          <w:ilvl w:val="0"/>
          <w:numId w:val="6"/>
        </w:numPr>
        <w:spacing w:line="600" w:lineRule="exact"/>
        <w:ind w:firstLineChars="0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谈判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原则</w:t>
      </w:r>
    </w:p>
    <w:p w14:paraId="04CEB935">
      <w:pPr>
        <w:pStyle w:val="18"/>
        <w:widowControl/>
        <w:spacing w:line="600" w:lineRule="exact"/>
        <w:ind w:firstLine="560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采购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遵循公平、公正的原则进行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谈判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，采用同一程序和标准对供应商进行评估。</w:t>
      </w:r>
    </w:p>
    <w:p w14:paraId="699C0830">
      <w:pPr>
        <w:pStyle w:val="18"/>
        <w:widowControl/>
        <w:numPr>
          <w:ilvl w:val="0"/>
          <w:numId w:val="6"/>
        </w:numPr>
        <w:spacing w:line="600" w:lineRule="exact"/>
        <w:ind w:firstLineChars="0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评审方法</w:t>
      </w:r>
    </w:p>
    <w:p w14:paraId="33F0D0F9">
      <w:pPr>
        <w:pStyle w:val="18"/>
        <w:widowControl/>
        <w:spacing w:line="600" w:lineRule="exact"/>
        <w:ind w:firstLine="560"/>
        <w:rPr>
          <w:rFonts w:hint="eastAsia"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采购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采用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“从质量和服务均能满足采购文件实质性响应要求的供应商中，按照最后报价由低到高的顺序提出3名及以上成交候选人”的方法对供应商进行比价，确定报价最低者为成交供应商。</w:t>
      </w:r>
    </w:p>
    <w:p w14:paraId="43B75523">
      <w:pPr>
        <w:widowControl/>
        <w:spacing w:line="600" w:lineRule="exact"/>
        <w:rPr>
          <w:rFonts w:ascii="仿宋_GB2312" w:hAnsi="黑体" w:eastAsia="仿宋_GB2312"/>
          <w:sz w:val="28"/>
          <w:szCs w:val="28"/>
          <w:highlight w:val="none"/>
        </w:rPr>
      </w:pPr>
    </w:p>
    <w:p w14:paraId="6ACD5C9D">
      <w:pPr>
        <w:pStyle w:val="18"/>
        <w:widowControl/>
        <w:numPr>
          <w:ilvl w:val="0"/>
          <w:numId w:val="1"/>
        </w:numPr>
        <w:spacing w:line="600" w:lineRule="exact"/>
        <w:ind w:firstLineChars="0"/>
        <w:jc w:val="center"/>
        <w:outlineLvl w:val="0"/>
        <w:rPr>
          <w:rFonts w:ascii="仿宋_GB2312" w:hAnsi="黑体" w:eastAsia="仿宋_GB2312"/>
          <w:b/>
          <w:sz w:val="28"/>
          <w:szCs w:val="28"/>
          <w:highlight w:val="none"/>
        </w:rPr>
      </w:pPr>
      <w:bookmarkStart w:id="12" w:name="_Toc11603"/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响应文件要求</w:t>
      </w:r>
      <w:bookmarkEnd w:id="12"/>
    </w:p>
    <w:p w14:paraId="68B366E4">
      <w:pPr>
        <w:pStyle w:val="18"/>
        <w:widowControl/>
        <w:numPr>
          <w:ilvl w:val="0"/>
          <w:numId w:val="0"/>
        </w:numPr>
        <w:spacing w:line="600" w:lineRule="exact"/>
        <w:ind w:leftChars="0"/>
        <w:jc w:val="both"/>
        <w:outlineLvl w:val="0"/>
        <w:rPr>
          <w:rFonts w:ascii="仿宋_GB2312" w:hAnsi="黑体" w:eastAsia="仿宋_GB2312"/>
          <w:b/>
          <w:sz w:val="28"/>
          <w:szCs w:val="28"/>
          <w:highlight w:val="none"/>
        </w:rPr>
      </w:pPr>
    </w:p>
    <w:p w14:paraId="25247FD6">
      <w:pPr>
        <w:pStyle w:val="18"/>
        <w:numPr>
          <w:ilvl w:val="0"/>
          <w:numId w:val="7"/>
        </w:numPr>
        <w:spacing w:line="600" w:lineRule="exact"/>
        <w:ind w:firstLineChars="0"/>
        <w:outlineLvl w:val="1"/>
        <w:rPr>
          <w:rFonts w:ascii="仿宋_GB2312" w:hAnsi="黑体" w:eastAsia="仿宋_GB2312"/>
          <w:b/>
          <w:bCs/>
          <w:sz w:val="28"/>
          <w:szCs w:val="28"/>
          <w:highlight w:val="none"/>
        </w:rPr>
      </w:pPr>
      <w:bookmarkStart w:id="13" w:name="_Toc21217"/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  <w:t>响应文件编制</w:t>
      </w:r>
      <w:bookmarkEnd w:id="13"/>
    </w:p>
    <w:p w14:paraId="1723041E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60" w:firstLineChars="200"/>
        <w:textAlignment w:val="auto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供应商应准备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份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包含报价的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响应文件。</w:t>
      </w:r>
    </w:p>
    <w:p w14:paraId="54C787CC">
      <w:pPr>
        <w:pStyle w:val="18"/>
        <w:numPr>
          <w:ilvl w:val="0"/>
          <w:numId w:val="7"/>
        </w:numPr>
        <w:spacing w:line="600" w:lineRule="exact"/>
        <w:ind w:firstLineChars="0"/>
        <w:outlineLvl w:val="1"/>
        <w:rPr>
          <w:rFonts w:ascii="仿宋_GB2312" w:hAnsi="黑体" w:eastAsia="仿宋_GB2312"/>
          <w:b/>
          <w:bCs/>
          <w:sz w:val="28"/>
          <w:szCs w:val="28"/>
          <w:highlight w:val="none"/>
        </w:rPr>
      </w:pPr>
      <w:bookmarkStart w:id="14" w:name="_Toc31459"/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  <w:t>响应文件有效期</w:t>
      </w:r>
      <w:bookmarkEnd w:id="14"/>
    </w:p>
    <w:p w14:paraId="0EB498B7">
      <w:pPr>
        <w:pStyle w:val="18"/>
        <w:widowControl/>
        <w:spacing w:line="600" w:lineRule="exact"/>
        <w:ind w:firstLine="560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有效期至竞争性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谈判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结束之日，对成交供应商，延长至合同执行完毕时止。</w:t>
      </w:r>
    </w:p>
    <w:p w14:paraId="03AD5FD5">
      <w:pPr>
        <w:pStyle w:val="18"/>
        <w:numPr>
          <w:ilvl w:val="0"/>
          <w:numId w:val="7"/>
        </w:numPr>
        <w:spacing w:line="600" w:lineRule="exact"/>
        <w:ind w:firstLineChars="0"/>
        <w:outlineLvl w:val="1"/>
        <w:rPr>
          <w:rFonts w:ascii="仿宋_GB2312" w:hAnsi="黑体" w:eastAsia="仿宋_GB2312"/>
          <w:b/>
          <w:bCs/>
          <w:sz w:val="28"/>
          <w:szCs w:val="28"/>
          <w:highlight w:val="none"/>
        </w:rPr>
      </w:pPr>
      <w:bookmarkStart w:id="15" w:name="_Toc20168"/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  <w:t>响应文件递交</w:t>
      </w:r>
      <w:bookmarkEnd w:id="15"/>
    </w:p>
    <w:p w14:paraId="45D37CD9">
      <w:pPr>
        <w:widowControl/>
        <w:spacing w:line="600" w:lineRule="exact"/>
        <w:ind w:firstLine="560" w:firstLineChars="200"/>
        <w:jc w:val="left"/>
        <w:rPr>
          <w:rFonts w:hint="eastAsia"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sz w:val="28"/>
          <w:szCs w:val="28"/>
          <w:highlight w:val="none"/>
        </w:rPr>
        <w:t>供应商应在截止时间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前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提交响应文件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在截止时间后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提交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的响应文件为无效文件，采购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将予以拒收。</w:t>
      </w:r>
    </w:p>
    <w:p w14:paraId="11A56F84">
      <w:pPr>
        <w:widowControl/>
        <w:spacing w:line="600" w:lineRule="exact"/>
        <w:ind w:firstLine="560" w:firstLineChars="200"/>
        <w:jc w:val="left"/>
        <w:rPr>
          <w:rFonts w:hint="eastAsia" w:ascii="仿宋_GB2312" w:hAnsi="黑体" w:eastAsia="仿宋_GB2312"/>
          <w:sz w:val="28"/>
          <w:szCs w:val="28"/>
          <w:highlight w:val="none"/>
        </w:rPr>
      </w:pPr>
    </w:p>
    <w:p w14:paraId="73A5AC58">
      <w:pPr>
        <w:widowControl/>
        <w:spacing w:line="600" w:lineRule="exact"/>
        <w:ind w:firstLine="560" w:firstLineChars="200"/>
        <w:jc w:val="left"/>
        <w:rPr>
          <w:rFonts w:hint="eastAsia" w:ascii="仿宋_GB2312" w:hAnsi="黑体" w:eastAsia="仿宋_GB2312"/>
          <w:sz w:val="28"/>
          <w:szCs w:val="28"/>
          <w:highlight w:val="none"/>
        </w:rPr>
      </w:pPr>
    </w:p>
    <w:p w14:paraId="230AB900">
      <w:pPr>
        <w:widowControl/>
        <w:spacing w:line="600" w:lineRule="exact"/>
        <w:ind w:firstLine="560" w:firstLineChars="200"/>
        <w:jc w:val="right"/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中证中小投资者服务中心</w:t>
      </w:r>
    </w:p>
    <w:p w14:paraId="7A310ADD">
      <w:pPr>
        <w:widowControl/>
        <w:wordWrap w:val="0"/>
        <w:spacing w:line="600" w:lineRule="exact"/>
        <w:ind w:firstLine="560" w:firstLineChars="200"/>
        <w:jc w:val="right"/>
        <w:rPr>
          <w:rFonts w:hint="default" w:ascii="仿宋_GB2312" w:hAnsi="黑体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 xml:space="preserve">2026年1月23日  </w:t>
      </w: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Optimum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417665"/>
      <w:docPartObj>
        <w:docPartGallery w:val="autotext"/>
      </w:docPartObj>
    </w:sdtPr>
    <w:sdtContent>
      <w:p w14:paraId="1C802EA3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7D21B45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8036B"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F7586"/>
    <w:multiLevelType w:val="multilevel"/>
    <w:tmpl w:val="093F7586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95676D"/>
    <w:multiLevelType w:val="multilevel"/>
    <w:tmpl w:val="1095676D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5F61F7"/>
    <w:multiLevelType w:val="multilevel"/>
    <w:tmpl w:val="165F61F7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FA1C50"/>
    <w:multiLevelType w:val="multilevel"/>
    <w:tmpl w:val="4AFA1C50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5CE6123"/>
    <w:multiLevelType w:val="multilevel"/>
    <w:tmpl w:val="65CE6123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1B673C"/>
    <w:multiLevelType w:val="multilevel"/>
    <w:tmpl w:val="661B673C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8D2683"/>
    <w:multiLevelType w:val="multilevel"/>
    <w:tmpl w:val="688D2683"/>
    <w:lvl w:ilvl="0" w:tentative="0">
      <w:start w:val="1"/>
      <w:numFmt w:val="japaneseCounting"/>
      <w:lvlText w:val="第%1章"/>
      <w:lvlJc w:val="left"/>
      <w:pPr>
        <w:ind w:left="1050" w:hanging="10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jgyNzA2NjgwOWZkMTAzZjkzMWRmZjY2ODUwYTEifQ=="/>
  </w:docVars>
  <w:rsids>
    <w:rsidRoot w:val="0070291F"/>
    <w:rsid w:val="00027AB8"/>
    <w:rsid w:val="0004264B"/>
    <w:rsid w:val="0006715A"/>
    <w:rsid w:val="00071427"/>
    <w:rsid w:val="000809C2"/>
    <w:rsid w:val="00081F21"/>
    <w:rsid w:val="00082390"/>
    <w:rsid w:val="00091C30"/>
    <w:rsid w:val="000949CC"/>
    <w:rsid w:val="000B5182"/>
    <w:rsid w:val="000B6637"/>
    <w:rsid w:val="000C6C05"/>
    <w:rsid w:val="001335BD"/>
    <w:rsid w:val="001420B7"/>
    <w:rsid w:val="00142BAC"/>
    <w:rsid w:val="001739A2"/>
    <w:rsid w:val="001C1CAC"/>
    <w:rsid w:val="001E5154"/>
    <w:rsid w:val="001F3D88"/>
    <w:rsid w:val="00217834"/>
    <w:rsid w:val="00240A60"/>
    <w:rsid w:val="0025092D"/>
    <w:rsid w:val="00272D8F"/>
    <w:rsid w:val="002772BE"/>
    <w:rsid w:val="00285C5D"/>
    <w:rsid w:val="00294C99"/>
    <w:rsid w:val="002A094E"/>
    <w:rsid w:val="002A10A0"/>
    <w:rsid w:val="002A5DCB"/>
    <w:rsid w:val="002C131F"/>
    <w:rsid w:val="002C3DCC"/>
    <w:rsid w:val="002D0238"/>
    <w:rsid w:val="00300268"/>
    <w:rsid w:val="00317795"/>
    <w:rsid w:val="00355E4B"/>
    <w:rsid w:val="003563C8"/>
    <w:rsid w:val="00360487"/>
    <w:rsid w:val="00364923"/>
    <w:rsid w:val="00366CA9"/>
    <w:rsid w:val="00372C5C"/>
    <w:rsid w:val="00376FEB"/>
    <w:rsid w:val="003823B0"/>
    <w:rsid w:val="00411F3B"/>
    <w:rsid w:val="00431D14"/>
    <w:rsid w:val="00451304"/>
    <w:rsid w:val="0047244F"/>
    <w:rsid w:val="00480A32"/>
    <w:rsid w:val="00491FEE"/>
    <w:rsid w:val="004F137C"/>
    <w:rsid w:val="00545B71"/>
    <w:rsid w:val="005603BE"/>
    <w:rsid w:val="00561A4F"/>
    <w:rsid w:val="00564C26"/>
    <w:rsid w:val="00566FF4"/>
    <w:rsid w:val="005717D7"/>
    <w:rsid w:val="005908BC"/>
    <w:rsid w:val="005A63F0"/>
    <w:rsid w:val="005C5498"/>
    <w:rsid w:val="005F29A3"/>
    <w:rsid w:val="005F3DA1"/>
    <w:rsid w:val="005F6BAB"/>
    <w:rsid w:val="0060213A"/>
    <w:rsid w:val="00610531"/>
    <w:rsid w:val="00614232"/>
    <w:rsid w:val="006212B2"/>
    <w:rsid w:val="0062131C"/>
    <w:rsid w:val="00654CAB"/>
    <w:rsid w:val="00672C26"/>
    <w:rsid w:val="00677ACE"/>
    <w:rsid w:val="006875E8"/>
    <w:rsid w:val="006A0672"/>
    <w:rsid w:val="006A41EE"/>
    <w:rsid w:val="006D7A75"/>
    <w:rsid w:val="006F36D4"/>
    <w:rsid w:val="0070291F"/>
    <w:rsid w:val="00757995"/>
    <w:rsid w:val="007674C2"/>
    <w:rsid w:val="007928BD"/>
    <w:rsid w:val="007947ED"/>
    <w:rsid w:val="00794AD4"/>
    <w:rsid w:val="0079659C"/>
    <w:rsid w:val="007C160D"/>
    <w:rsid w:val="007C551A"/>
    <w:rsid w:val="007F5116"/>
    <w:rsid w:val="00842273"/>
    <w:rsid w:val="00855C53"/>
    <w:rsid w:val="0085770A"/>
    <w:rsid w:val="008832CA"/>
    <w:rsid w:val="008874CA"/>
    <w:rsid w:val="008A1937"/>
    <w:rsid w:val="008A5903"/>
    <w:rsid w:val="008C4DE6"/>
    <w:rsid w:val="008D3F27"/>
    <w:rsid w:val="008E1CFD"/>
    <w:rsid w:val="009022B4"/>
    <w:rsid w:val="00915312"/>
    <w:rsid w:val="00920AA9"/>
    <w:rsid w:val="009240F4"/>
    <w:rsid w:val="0094251B"/>
    <w:rsid w:val="00945D1F"/>
    <w:rsid w:val="009474B7"/>
    <w:rsid w:val="00961FA0"/>
    <w:rsid w:val="009A6CA7"/>
    <w:rsid w:val="009B39CA"/>
    <w:rsid w:val="009C15BA"/>
    <w:rsid w:val="009C68A5"/>
    <w:rsid w:val="009E59E7"/>
    <w:rsid w:val="009F0417"/>
    <w:rsid w:val="009F67AE"/>
    <w:rsid w:val="00A32715"/>
    <w:rsid w:val="00A34932"/>
    <w:rsid w:val="00A873B0"/>
    <w:rsid w:val="00A90F73"/>
    <w:rsid w:val="00A921DD"/>
    <w:rsid w:val="00A9786C"/>
    <w:rsid w:val="00AB58D2"/>
    <w:rsid w:val="00AC6794"/>
    <w:rsid w:val="00AE2BBF"/>
    <w:rsid w:val="00AF4321"/>
    <w:rsid w:val="00AF7864"/>
    <w:rsid w:val="00B05E6B"/>
    <w:rsid w:val="00B07870"/>
    <w:rsid w:val="00B07B07"/>
    <w:rsid w:val="00B165F5"/>
    <w:rsid w:val="00B41794"/>
    <w:rsid w:val="00B438A2"/>
    <w:rsid w:val="00B47881"/>
    <w:rsid w:val="00B959CF"/>
    <w:rsid w:val="00BC7310"/>
    <w:rsid w:val="00BD019A"/>
    <w:rsid w:val="00BE1962"/>
    <w:rsid w:val="00C007E2"/>
    <w:rsid w:val="00C01F33"/>
    <w:rsid w:val="00C02803"/>
    <w:rsid w:val="00C2758B"/>
    <w:rsid w:val="00C303BF"/>
    <w:rsid w:val="00C600EC"/>
    <w:rsid w:val="00C65F0B"/>
    <w:rsid w:val="00CA2B1E"/>
    <w:rsid w:val="00CA368F"/>
    <w:rsid w:val="00CB3732"/>
    <w:rsid w:val="00CB7C39"/>
    <w:rsid w:val="00CD056C"/>
    <w:rsid w:val="00CF1F90"/>
    <w:rsid w:val="00D020E9"/>
    <w:rsid w:val="00D124C6"/>
    <w:rsid w:val="00D153A8"/>
    <w:rsid w:val="00D22647"/>
    <w:rsid w:val="00D43EA6"/>
    <w:rsid w:val="00D45A74"/>
    <w:rsid w:val="00D7193C"/>
    <w:rsid w:val="00D77F70"/>
    <w:rsid w:val="00D97735"/>
    <w:rsid w:val="00DB19D3"/>
    <w:rsid w:val="00DC7F73"/>
    <w:rsid w:val="00DD0365"/>
    <w:rsid w:val="00DD5B38"/>
    <w:rsid w:val="00DE4A0A"/>
    <w:rsid w:val="00E25D1C"/>
    <w:rsid w:val="00E4452B"/>
    <w:rsid w:val="00E57B60"/>
    <w:rsid w:val="00E66348"/>
    <w:rsid w:val="00E67367"/>
    <w:rsid w:val="00E7482B"/>
    <w:rsid w:val="00E93324"/>
    <w:rsid w:val="00EA0872"/>
    <w:rsid w:val="00EE1406"/>
    <w:rsid w:val="00EF16FF"/>
    <w:rsid w:val="00EF70E7"/>
    <w:rsid w:val="00F254CA"/>
    <w:rsid w:val="00F26367"/>
    <w:rsid w:val="00F96553"/>
    <w:rsid w:val="00FB7622"/>
    <w:rsid w:val="00FF4076"/>
    <w:rsid w:val="028021E2"/>
    <w:rsid w:val="02BC7B5E"/>
    <w:rsid w:val="035E6DD6"/>
    <w:rsid w:val="06BC6527"/>
    <w:rsid w:val="0AC967EA"/>
    <w:rsid w:val="0C8678C1"/>
    <w:rsid w:val="0DD158FD"/>
    <w:rsid w:val="0EE505E5"/>
    <w:rsid w:val="11836E95"/>
    <w:rsid w:val="154C0CC3"/>
    <w:rsid w:val="1677582F"/>
    <w:rsid w:val="19815FCF"/>
    <w:rsid w:val="1BC4458A"/>
    <w:rsid w:val="1C204226"/>
    <w:rsid w:val="1E25719A"/>
    <w:rsid w:val="21FC60F3"/>
    <w:rsid w:val="2ADB05F6"/>
    <w:rsid w:val="2BE3211A"/>
    <w:rsid w:val="2EBF2353"/>
    <w:rsid w:val="30D53FF2"/>
    <w:rsid w:val="32946EAA"/>
    <w:rsid w:val="37305FF2"/>
    <w:rsid w:val="38341229"/>
    <w:rsid w:val="3B2F02AB"/>
    <w:rsid w:val="3EA70C2A"/>
    <w:rsid w:val="41941DCE"/>
    <w:rsid w:val="425E0452"/>
    <w:rsid w:val="435A7F52"/>
    <w:rsid w:val="468F0A5F"/>
    <w:rsid w:val="49E57820"/>
    <w:rsid w:val="4A2F3EE7"/>
    <w:rsid w:val="4ADD3B36"/>
    <w:rsid w:val="4AF60EA8"/>
    <w:rsid w:val="4C442CDD"/>
    <w:rsid w:val="4FBC1A62"/>
    <w:rsid w:val="56DD72B6"/>
    <w:rsid w:val="57B3C027"/>
    <w:rsid w:val="57F52770"/>
    <w:rsid w:val="586562D5"/>
    <w:rsid w:val="59456951"/>
    <w:rsid w:val="5B9CEC54"/>
    <w:rsid w:val="5D1F6BD6"/>
    <w:rsid w:val="5EDF2903"/>
    <w:rsid w:val="5EFEA0B5"/>
    <w:rsid w:val="5FFB78A1"/>
    <w:rsid w:val="604A609D"/>
    <w:rsid w:val="60D603D4"/>
    <w:rsid w:val="60DF1AAA"/>
    <w:rsid w:val="63FF5D76"/>
    <w:rsid w:val="68D5229E"/>
    <w:rsid w:val="6D8243CD"/>
    <w:rsid w:val="718C74F3"/>
    <w:rsid w:val="76592D83"/>
    <w:rsid w:val="77BFBD0C"/>
    <w:rsid w:val="793F3B2A"/>
    <w:rsid w:val="7BF145B3"/>
    <w:rsid w:val="7DAC3C15"/>
    <w:rsid w:val="7DBB6602"/>
    <w:rsid w:val="7DF2889A"/>
    <w:rsid w:val="7E09B616"/>
    <w:rsid w:val="7FBA06CC"/>
    <w:rsid w:val="7FDDBA1F"/>
    <w:rsid w:val="7FFBBE3B"/>
    <w:rsid w:val="7FFEE30C"/>
    <w:rsid w:val="B3F7317C"/>
    <w:rsid w:val="BDDC2EA0"/>
    <w:rsid w:val="BFE7D64A"/>
    <w:rsid w:val="CBF9A8EE"/>
    <w:rsid w:val="D9D6CF26"/>
    <w:rsid w:val="DBEDC3FD"/>
    <w:rsid w:val="E59EA2ED"/>
    <w:rsid w:val="F7FF0EEF"/>
    <w:rsid w:val="FF7EC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tabs>
        <w:tab w:val="left" w:pos="1050"/>
        <w:tab w:val="right" w:leader="dot" w:pos="8296"/>
      </w:tabs>
      <w:jc w:val="center"/>
    </w:pPr>
    <w:rPr>
      <w:rFonts w:ascii="仿宋_GB2312" w:hAnsi="黑体" w:eastAsia="仿宋_GB2312"/>
      <w:b/>
      <w:sz w:val="44"/>
      <w:szCs w:val="44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annotation subject"/>
    <w:basedOn w:val="3"/>
    <w:next w:val="3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FollowedHyperlink"/>
    <w:basedOn w:val="13"/>
    <w:semiHidden/>
    <w:unhideWhenUsed/>
    <w:qFormat/>
    <w:uiPriority w:val="99"/>
    <w:rPr>
      <w:color w:val="333333"/>
      <w:u w:val="none"/>
    </w:rPr>
  </w:style>
  <w:style w:type="character" w:styleId="16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3"/>
    <w:link w:val="3"/>
    <w:semiHidden/>
    <w:qFormat/>
    <w:uiPriority w:val="99"/>
  </w:style>
  <w:style w:type="character" w:customStyle="1" w:styleId="20">
    <w:name w:val="批注框文本 字符"/>
    <w:basedOn w:val="13"/>
    <w:link w:val="4"/>
    <w:semiHidden/>
    <w:qFormat/>
    <w:uiPriority w:val="99"/>
    <w:rPr>
      <w:sz w:val="18"/>
      <w:szCs w:val="18"/>
    </w:rPr>
  </w:style>
  <w:style w:type="character" w:customStyle="1" w:styleId="21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3">
    <w:name w:val="页眉 字符"/>
    <w:basedOn w:val="13"/>
    <w:link w:val="6"/>
    <w:qFormat/>
    <w:uiPriority w:val="99"/>
    <w:rPr>
      <w:sz w:val="18"/>
      <w:szCs w:val="18"/>
    </w:rPr>
  </w:style>
  <w:style w:type="character" w:customStyle="1" w:styleId="24">
    <w:name w:val="页脚 字符"/>
    <w:basedOn w:val="13"/>
    <w:link w:val="5"/>
    <w:qFormat/>
    <w:uiPriority w:val="99"/>
    <w:rPr>
      <w:sz w:val="18"/>
      <w:szCs w:val="18"/>
    </w:rPr>
  </w:style>
  <w:style w:type="character" w:customStyle="1" w:styleId="25">
    <w:name w:val="批注主题 字符"/>
    <w:basedOn w:val="19"/>
    <w:link w:val="10"/>
    <w:semiHidden/>
    <w:qFormat/>
    <w:uiPriority w:val="99"/>
    <w:rPr>
      <w:b/>
      <w:bCs/>
    </w:rPr>
  </w:style>
  <w:style w:type="character" w:styleId="26">
    <w:name w:val="Placeholder Text"/>
    <w:basedOn w:val="13"/>
    <w:semiHidden/>
    <w:qFormat/>
    <w:uiPriority w:val="99"/>
    <w:rPr>
      <w:color w:val="808080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Optimum" w:hAnsi="Times New Roman" w:eastAsia="Optimum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28">
    <w:name w:val="列出段落1"/>
    <w:basedOn w:val="1"/>
    <w:qFormat/>
    <w:uiPriority w:val="34"/>
    <w:pPr>
      <w:ind w:firstLine="420" w:firstLineChars="200"/>
    </w:pPr>
  </w:style>
  <w:style w:type="character" w:customStyle="1" w:styleId="29">
    <w:name w:val="font1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</Pages>
  <Words>11020</Words>
  <Characters>11391</Characters>
  <Lines>18</Lines>
  <Paragraphs>5</Paragraphs>
  <TotalTime>53</TotalTime>
  <ScaleCrop>false</ScaleCrop>
  <LinksUpToDate>false</LinksUpToDate>
  <CharactersWithSpaces>11583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2019-11-17T02:19:00Z</dcterms:created>
  <dc:creator>csindex_yuanchen</dc:creator>
  <cp:lastModifiedBy>zyxing</cp:lastModifiedBy>
  <cp:lastPrinted>2026-01-23T17:57:00Z</cp:lastPrinted>
  <dcterms:modified xsi:type="dcterms:W3CDTF">2026-01-23T11:03:37Z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D2E953705F264CA3A180159B3B655503</vt:lpwstr>
  </property>
</Properties>
</file>