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pPr>
        <w:jc w:val="center"/>
        <w:rPr>
          <w:rFonts w:hint="eastAsia" w:ascii="黑体" w:hAnsi="黑体" w:eastAsia="黑体"/>
          <w:b/>
          <w:sz w:val="36"/>
          <w:szCs w:val="36"/>
          <w:highlight w:val="none"/>
          <w:lang w:eastAsia="zh-CN"/>
        </w:rPr>
      </w:pPr>
      <w:r>
        <w:rPr>
          <w:rFonts w:hint="eastAsia" w:ascii="黑体" w:hAnsi="黑体" w:eastAsia="黑体"/>
          <w:b/>
          <w:sz w:val="36"/>
          <w:szCs w:val="36"/>
          <w:highlight w:val="none"/>
          <w:lang w:eastAsia="zh-CN"/>
        </w:rPr>
        <w:t>2026-2028年CDN服务项目</w:t>
      </w:r>
    </w:p>
    <w:p>
      <w:pPr>
        <w:jc w:val="center"/>
        <w:rPr>
          <w:rFonts w:ascii="黑体" w:hAnsi="黑体" w:eastAsia="黑体"/>
          <w:b/>
          <w:sz w:val="36"/>
          <w:szCs w:val="36"/>
          <w:highlight w:val="none"/>
        </w:rPr>
      </w:pPr>
      <w:r>
        <w:rPr>
          <w:rFonts w:hint="eastAsia" w:ascii="黑体" w:hAnsi="黑体" w:eastAsia="黑体"/>
          <w:b/>
          <w:sz w:val="36"/>
          <w:szCs w:val="36"/>
          <w:highlight w:val="none"/>
        </w:rPr>
        <w:t>竞争性磋商文件</w:t>
      </w:r>
    </w:p>
    <w:p>
      <w:pPr>
        <w:rPr>
          <w:rFonts w:ascii="黑体" w:hAnsi="黑体" w:eastAsia="黑体"/>
          <w:sz w:val="36"/>
          <w:szCs w:val="36"/>
          <w:highlight w:val="none"/>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ascii="黑体" w:hAnsi="黑体" w:eastAsia="黑体"/>
          <w:sz w:val="36"/>
          <w:szCs w:val="36"/>
          <w:highlight w:val="none"/>
        </w:rPr>
      </w:pPr>
    </w:p>
    <w:p>
      <w:pPr>
        <w:jc w:val="center"/>
        <w:rPr>
          <w:rFonts w:ascii="黑体" w:hAnsi="黑体" w:eastAsia="黑体"/>
          <w:sz w:val="28"/>
          <w:szCs w:val="28"/>
          <w:highlight w:val="none"/>
        </w:rPr>
      </w:pPr>
    </w:p>
    <w:p>
      <w:pPr>
        <w:widowControl/>
        <w:jc w:val="center"/>
        <w:rPr>
          <w:rFonts w:ascii="仿宋_GB2312" w:hAnsi="黑体" w:eastAsia="仿宋_GB2312"/>
          <w:b/>
          <w:sz w:val="28"/>
          <w:szCs w:val="28"/>
          <w:highlight w:val="none"/>
        </w:rPr>
      </w:pPr>
      <w:r>
        <w:rPr>
          <w:rFonts w:hint="eastAsia" w:ascii="仿宋_GB2312" w:hAnsi="黑体" w:eastAsia="仿宋_GB2312"/>
          <w:b/>
          <w:sz w:val="28"/>
          <w:szCs w:val="28"/>
          <w:highlight w:val="none"/>
        </w:rPr>
        <w:t>采购项目名称：</w:t>
      </w:r>
      <w:r>
        <w:rPr>
          <w:rFonts w:hint="eastAsia" w:ascii="仿宋_GB2312" w:hAnsi="黑体" w:eastAsia="仿宋_GB2312"/>
          <w:b/>
          <w:sz w:val="28"/>
          <w:szCs w:val="28"/>
          <w:highlight w:val="none"/>
          <w:lang w:val="en-US" w:eastAsia="zh-CN"/>
        </w:rPr>
        <w:t>2026-2028年CDN服务项目</w:t>
      </w:r>
    </w:p>
    <w:p>
      <w:pPr>
        <w:ind w:left="1124" w:hanging="1124" w:hangingChars="400"/>
        <w:jc w:val="center"/>
        <w:rPr>
          <w:rFonts w:hint="eastAsia" w:ascii="仿宋_GB2312" w:hAnsi="黑体" w:eastAsia="仿宋_GB2312"/>
          <w:b/>
          <w:sz w:val="28"/>
          <w:szCs w:val="28"/>
          <w:highlight w:val="none"/>
          <w:lang w:eastAsia="zh-CN"/>
        </w:rPr>
      </w:pPr>
      <w:r>
        <w:rPr>
          <w:rFonts w:hint="eastAsia" w:ascii="仿宋_GB2312" w:hAnsi="黑体" w:eastAsia="仿宋_GB2312"/>
          <w:b/>
          <w:sz w:val="28"/>
          <w:szCs w:val="28"/>
          <w:highlight w:val="none"/>
        </w:rPr>
        <w:t>采购人：</w:t>
      </w:r>
      <w:r>
        <w:rPr>
          <w:rFonts w:hint="eastAsia" w:ascii="仿宋_GB2312" w:hAnsi="黑体" w:eastAsia="仿宋_GB2312"/>
          <w:b/>
          <w:sz w:val="28"/>
          <w:szCs w:val="28"/>
          <w:highlight w:val="none"/>
          <w:lang w:eastAsia="zh-CN"/>
        </w:rPr>
        <w:t>中证中小投资者服务中心有限责任公司</w:t>
      </w: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center"/>
        <w:rPr>
          <w:rFonts w:hint="eastAsia" w:ascii="仿宋_GB2312" w:hAnsi="黑体" w:eastAsia="仿宋_GB2312"/>
          <w:b/>
          <w:color w:val="auto"/>
          <w:sz w:val="28"/>
          <w:szCs w:val="28"/>
          <w:highlight w:val="none"/>
          <w:lang w:eastAsia="zh-CN"/>
        </w:rPr>
      </w:pPr>
      <w:bookmarkStart w:id="0" w:name="OLE_LINK3"/>
      <w:r>
        <w:rPr>
          <w:rFonts w:hint="eastAsia" w:ascii="仿宋_GB2312" w:hAnsi="黑体" w:eastAsia="仿宋_GB2312"/>
          <w:b/>
          <w:color w:val="auto"/>
          <w:sz w:val="28"/>
          <w:szCs w:val="28"/>
          <w:highlight w:val="none"/>
          <w:lang w:eastAsia="zh-CN"/>
        </w:rPr>
        <w:t>中证中小投资者服务中心有限责任公司</w:t>
      </w:r>
    </w:p>
    <w:bookmarkEnd w:id="0"/>
    <w:p>
      <w:pPr>
        <w:jc w:val="center"/>
        <w:rPr>
          <w:rFonts w:ascii="仿宋_GB2312" w:hAnsi="黑体" w:eastAsia="仿宋_GB2312"/>
          <w:sz w:val="28"/>
          <w:szCs w:val="28"/>
          <w:highlight w:val="none"/>
        </w:rPr>
      </w:pPr>
      <w:r>
        <w:rPr>
          <w:rFonts w:hint="eastAsia" w:ascii="仿宋_GB2312" w:hAnsi="黑体" w:eastAsia="仿宋_GB2312"/>
          <w:b/>
          <w:sz w:val="28"/>
          <w:szCs w:val="28"/>
          <w:highlight w:val="none"/>
          <w:lang w:val="en-US" w:eastAsia="zh-CN"/>
        </w:rPr>
        <w:t>2026</w:t>
      </w:r>
      <w:r>
        <w:rPr>
          <w:rFonts w:hint="eastAsia" w:ascii="仿宋_GB2312" w:hAnsi="黑体" w:eastAsia="仿宋_GB2312"/>
          <w:b/>
          <w:sz w:val="28"/>
          <w:szCs w:val="28"/>
          <w:highlight w:val="none"/>
        </w:rPr>
        <w:t>年</w:t>
      </w:r>
      <w:r>
        <w:rPr>
          <w:rFonts w:hint="eastAsia" w:ascii="仿宋_GB2312" w:hAnsi="黑体" w:eastAsia="仿宋_GB2312"/>
          <w:b/>
          <w:sz w:val="28"/>
          <w:szCs w:val="28"/>
          <w:highlight w:val="none"/>
          <w:lang w:val="en-US" w:eastAsia="zh-CN"/>
        </w:rPr>
        <w:t>3</w:t>
      </w:r>
      <w:r>
        <w:rPr>
          <w:rFonts w:hint="eastAsia" w:ascii="仿宋_GB2312" w:hAnsi="黑体" w:eastAsia="仿宋_GB2312"/>
          <w:b/>
          <w:sz w:val="28"/>
          <w:szCs w:val="28"/>
          <w:highlight w:val="none"/>
        </w:rPr>
        <w:t>月</w:t>
      </w:r>
      <w:r>
        <w:rPr>
          <w:rFonts w:ascii="仿宋_GB2312" w:hAnsi="黑体" w:eastAsia="仿宋_GB2312"/>
          <w:sz w:val="28"/>
          <w:szCs w:val="28"/>
          <w:highlight w:val="none"/>
        </w:rPr>
        <w:br w:type="page"/>
      </w: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 w:name="_Toc11164"/>
      <w:r>
        <w:rPr>
          <w:rFonts w:hint="eastAsia" w:ascii="仿宋_GB2312" w:hAnsi="黑体" w:eastAsia="仿宋_GB2312"/>
          <w:b/>
          <w:sz w:val="28"/>
          <w:szCs w:val="28"/>
          <w:highlight w:val="none"/>
        </w:rPr>
        <w:t>采购邀请</w:t>
      </w:r>
      <w:bookmarkEnd w:id="1"/>
    </w:p>
    <w:p>
      <w:pPr>
        <w:pStyle w:val="19"/>
        <w:widowControl/>
        <w:numPr>
          <w:ilvl w:val="0"/>
          <w:numId w:val="2"/>
        </w:numPr>
        <w:spacing w:line="600" w:lineRule="exact"/>
        <w:ind w:left="0" w:leftChars="0" w:firstLine="567" w:firstLineChars="0"/>
        <w:outlineLvl w:val="1"/>
        <w:rPr>
          <w:rFonts w:ascii="仿宋_GB2312" w:hAnsi="黑体" w:eastAsia="仿宋_GB2312"/>
          <w:b/>
          <w:bCs/>
          <w:sz w:val="28"/>
          <w:szCs w:val="28"/>
          <w:highlight w:val="none"/>
        </w:rPr>
      </w:pPr>
      <w:bookmarkStart w:id="2" w:name="_Toc30017"/>
      <w:r>
        <w:rPr>
          <w:rFonts w:hint="eastAsia" w:ascii="仿宋_GB2312" w:hAnsi="黑体" w:eastAsia="仿宋_GB2312"/>
          <w:b/>
          <w:bCs/>
          <w:sz w:val="28"/>
          <w:szCs w:val="28"/>
          <w:highlight w:val="none"/>
        </w:rPr>
        <w:t>采购方式</w:t>
      </w:r>
      <w:bookmarkEnd w:id="2"/>
    </w:p>
    <w:p>
      <w:pPr>
        <w:pStyle w:val="19"/>
        <w:widowControl/>
        <w:numPr>
          <w:ilvl w:val="0"/>
          <w:numId w:val="0"/>
        </w:numPr>
        <w:spacing w:line="600" w:lineRule="exact"/>
        <w:ind w:firstLine="560" w:firstLineChars="200"/>
        <w:outlineLvl w:val="1"/>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2026-2028年CDN服务项目</w:t>
      </w:r>
      <w:r>
        <w:rPr>
          <w:rFonts w:hint="eastAsia" w:ascii="仿宋_GB2312" w:hAnsi="黑体" w:eastAsia="仿宋_GB2312"/>
          <w:sz w:val="28"/>
          <w:szCs w:val="28"/>
          <w:highlight w:val="none"/>
        </w:rPr>
        <w:t>已启动采购程序，现决定以竞争性磋商方式采购，邀请符合条件的供应商参加。</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3" w:name="_Toc18627"/>
      <w:r>
        <w:rPr>
          <w:rFonts w:hint="eastAsia" w:ascii="仿宋_GB2312" w:hAnsi="黑体" w:eastAsia="仿宋_GB2312"/>
          <w:b/>
          <w:bCs/>
          <w:sz w:val="28"/>
          <w:szCs w:val="28"/>
          <w:highlight w:val="none"/>
        </w:rPr>
        <w:t>采购项目概况</w:t>
      </w:r>
      <w:bookmarkEnd w:id="3"/>
    </w:p>
    <w:p>
      <w:pPr>
        <w:pStyle w:val="19"/>
        <w:widowControl/>
        <w:numPr>
          <w:ilvl w:val="0"/>
          <w:numId w:val="3"/>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项目名称：</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2026-2028年CDN服务项目</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采购内容：</w:t>
      </w:r>
      <w:r>
        <w:rPr>
          <w:rFonts w:hint="eastAsia" w:ascii="仿宋_GB2312" w:hAnsi="黑体" w:eastAsia="仿宋_GB2312" w:cstheme="minorBidi"/>
          <w:b w:val="0"/>
          <w:bCs/>
          <w:i w:val="0"/>
          <w:caps w:val="0"/>
          <w:spacing w:val="0"/>
          <w:kern w:val="2"/>
          <w:sz w:val="28"/>
          <w:szCs w:val="28"/>
          <w:highlight w:val="none"/>
          <w:shd w:val="clear"/>
          <w:lang w:val="en-US" w:eastAsia="zh-CN" w:bidi="ar"/>
        </w:rPr>
        <w:t>CDN加速服务。</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服务期限：合同签订之日起3年。</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采购人：</w:t>
      </w:r>
      <w:bookmarkStart w:id="4" w:name="OLE_LINK4"/>
      <w:r>
        <w:rPr>
          <w:rFonts w:hint="eastAsia" w:ascii="仿宋_GB2312" w:hAnsi="黑体" w:eastAsia="仿宋_GB2312" w:cstheme="minorBidi"/>
          <w:kern w:val="2"/>
          <w:sz w:val="28"/>
          <w:szCs w:val="28"/>
          <w:highlight w:val="none"/>
          <w:lang w:val="en-US" w:eastAsia="zh-CN" w:bidi="ar-SA"/>
        </w:rPr>
        <w:t>中证中小投资者服务中心有限责任公司</w:t>
      </w:r>
      <w:bookmarkEnd w:id="4"/>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5" w:name="_Toc24608"/>
      <w:r>
        <w:rPr>
          <w:rFonts w:hint="eastAsia" w:ascii="仿宋_GB2312" w:hAnsi="黑体" w:eastAsia="仿宋_GB2312"/>
          <w:b/>
          <w:bCs/>
          <w:sz w:val="28"/>
          <w:szCs w:val="28"/>
          <w:highlight w:val="none"/>
        </w:rPr>
        <w:t>时间和地点</w:t>
      </w:r>
      <w:bookmarkEnd w:id="5"/>
    </w:p>
    <w:p>
      <w:pPr>
        <w:pStyle w:val="19"/>
        <w:widowControl/>
        <w:numPr>
          <w:ilvl w:val="0"/>
          <w:numId w:val="4"/>
        </w:numPr>
        <w:spacing w:line="600" w:lineRule="exact"/>
        <w:ind w:left="0" w:leftChars="0"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报名方式和截止时间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通过发送电子邮件进行报名，截止时间：2026年3月20日16:00，</w:t>
      </w:r>
    </w:p>
    <w:p>
      <w:pPr>
        <w:pStyle w:val="19"/>
        <w:widowControl/>
        <w:numPr>
          <w:ilvl w:val="0"/>
          <w:numId w:val="0"/>
        </w:numPr>
        <w:spacing w:line="600" w:lineRule="exact"/>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报名邮箱：</w:t>
      </w:r>
    </w:p>
    <w:p>
      <w:pPr>
        <w:pStyle w:val="19"/>
        <w:widowControl/>
        <w:numPr>
          <w:ilvl w:val="0"/>
          <w:numId w:val="0"/>
        </w:numPr>
        <w:spacing w:line="600" w:lineRule="exact"/>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lang w:val="en-US" w:eastAsia="zh-CN"/>
        </w:rPr>
        <w:t>czhang2@isc.com.cn;xyma@isc.com.cn;yxluo@isc.com.cn。</w:t>
      </w:r>
    </w:p>
    <w:p>
      <w:pPr>
        <w:pStyle w:val="19"/>
        <w:widowControl/>
        <w:numPr>
          <w:ilvl w:val="0"/>
          <w:numId w:val="4"/>
        </w:numPr>
        <w:spacing w:line="600" w:lineRule="exact"/>
        <w:ind w:left="0" w:leftChars="0" w:firstLine="560" w:firstLineChars="200"/>
        <w:rPr>
          <w:rFonts w:hint="eastAsia" w:ascii="仿宋_GB2312" w:hAnsi="黑体" w:eastAsia="仿宋_GB2312"/>
          <w:sz w:val="28"/>
          <w:szCs w:val="28"/>
          <w:highlight w:val="none"/>
        </w:rPr>
      </w:pPr>
      <w:r>
        <w:rPr>
          <w:rFonts w:hint="eastAsia" w:ascii="仿宋_GB2312" w:hAnsi="黑体" w:eastAsia="仿宋_GB2312"/>
          <w:b w:val="0"/>
          <w:bCs w:val="0"/>
          <w:sz w:val="28"/>
          <w:szCs w:val="28"/>
          <w:highlight w:val="none"/>
        </w:rPr>
        <w:t>提交响应文件截</w:t>
      </w:r>
      <w:r>
        <w:rPr>
          <w:rFonts w:hint="eastAsia" w:ascii="仿宋_GB2312" w:hAnsi="黑体" w:eastAsia="仿宋_GB2312"/>
          <w:sz w:val="28"/>
          <w:szCs w:val="28"/>
          <w:highlight w:val="none"/>
        </w:rPr>
        <w:t>止时间</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竞争性磋商</w:t>
      </w:r>
      <w:r>
        <w:rPr>
          <w:rFonts w:hint="eastAsia" w:ascii="仿宋_GB2312" w:hAnsi="黑体" w:eastAsia="仿宋_GB2312"/>
          <w:sz w:val="28"/>
          <w:szCs w:val="28"/>
          <w:highlight w:val="none"/>
          <w:lang w:eastAsia="zh-CN"/>
        </w:rPr>
        <w:t>会议</w:t>
      </w:r>
      <w:r>
        <w:rPr>
          <w:rFonts w:hint="eastAsia" w:ascii="仿宋_GB2312" w:hAnsi="黑体" w:eastAsia="仿宋_GB2312"/>
          <w:sz w:val="28"/>
          <w:szCs w:val="28"/>
          <w:highlight w:val="none"/>
        </w:rPr>
        <w:t>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2026年3月25日14:00</w:t>
      </w:r>
    </w:p>
    <w:p>
      <w:pPr>
        <w:pStyle w:val="19"/>
        <w:widowControl/>
        <w:numPr>
          <w:ilvl w:val="0"/>
          <w:numId w:val="4"/>
        </w:numPr>
        <w:spacing w:line="600" w:lineRule="exact"/>
        <w:ind w:left="0" w:leftChars="0" w:firstLine="560" w:firstLineChars="200"/>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rPr>
        <w:t>竞争性磋商地点：</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288号14层</w:t>
      </w:r>
    </w:p>
    <w:p>
      <w:pPr>
        <w:pStyle w:val="19"/>
        <w:widowControl/>
        <w:numPr>
          <w:ilvl w:val="0"/>
          <w:numId w:val="4"/>
        </w:numPr>
        <w:spacing w:line="600" w:lineRule="exact"/>
        <w:ind w:left="0" w:leftChars="0"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eastAsia="zh-CN"/>
        </w:rPr>
        <w:t>项目</w:t>
      </w:r>
      <w:r>
        <w:rPr>
          <w:rFonts w:hint="eastAsia" w:ascii="仿宋_GB2312" w:hAnsi="黑体" w:eastAsia="仿宋_GB2312"/>
          <w:sz w:val="28"/>
          <w:szCs w:val="28"/>
          <w:highlight w:val="none"/>
        </w:rPr>
        <w:t>联系人：</w:t>
      </w:r>
      <w:r>
        <w:rPr>
          <w:rFonts w:hint="eastAsia" w:ascii="仿宋_GB2312" w:hAnsi="黑体" w:eastAsia="仿宋_GB2312"/>
          <w:sz w:val="28"/>
          <w:szCs w:val="28"/>
          <w:highlight w:val="none"/>
          <w:lang w:eastAsia="zh-CN"/>
        </w:rPr>
        <w:t>张老师</w:t>
      </w:r>
      <w:r>
        <w:rPr>
          <w:rFonts w:hint="eastAsia" w:ascii="仿宋_GB2312" w:hAnsi="黑体" w:eastAsia="仿宋_GB2312"/>
          <w:sz w:val="28"/>
          <w:szCs w:val="28"/>
          <w:highlight w:val="none"/>
          <w:lang w:val="en-US" w:eastAsia="zh-CN"/>
        </w:rPr>
        <w:t xml:space="preserve"> </w:t>
      </w:r>
      <w:r>
        <w:rPr>
          <w:rFonts w:hint="eastAsia" w:ascii="仿宋_GB2312" w:hAnsi="黑体" w:eastAsia="仿宋_GB2312"/>
          <w:sz w:val="28"/>
          <w:szCs w:val="28"/>
          <w:highlight w:val="none"/>
        </w:rPr>
        <w:t>电话：</w:t>
      </w:r>
      <w:r>
        <w:rPr>
          <w:rFonts w:hint="eastAsia" w:ascii="仿宋_GB2312" w:hAnsi="黑体" w:eastAsia="仿宋_GB2312"/>
          <w:sz w:val="28"/>
          <w:szCs w:val="28"/>
          <w:highlight w:val="none"/>
          <w:lang w:val="en-US" w:eastAsia="zh-CN"/>
        </w:rPr>
        <w:t>021-51916173</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邮箱：czhang2@isc.com.cn</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6" w:name="_Toc15057"/>
      <w:r>
        <w:rPr>
          <w:rFonts w:hint="eastAsia" w:ascii="仿宋_GB2312" w:hAnsi="黑体" w:eastAsia="仿宋_GB2312"/>
          <w:b/>
          <w:bCs/>
          <w:sz w:val="28"/>
          <w:szCs w:val="28"/>
          <w:highlight w:val="none"/>
        </w:rPr>
        <w:t>其他相关说明</w:t>
      </w:r>
      <w:bookmarkEnd w:id="6"/>
    </w:p>
    <w:p>
      <w:pPr>
        <w:pStyle w:val="19"/>
        <w:widowControl/>
        <w:spacing w:line="600" w:lineRule="exact"/>
        <w:rPr>
          <w:rFonts w:ascii="仿宋_GB2312" w:hAnsi="黑体" w:eastAsia="仿宋_GB2312"/>
          <w:sz w:val="28"/>
          <w:szCs w:val="28"/>
          <w:highlight w:val="none"/>
        </w:rPr>
      </w:pPr>
      <w:r>
        <w:rPr>
          <w:rFonts w:hint="eastAsia" w:ascii="仿宋_GB2312" w:hAnsi="黑体" w:eastAsia="仿宋_GB2312"/>
          <w:sz w:val="28"/>
          <w:szCs w:val="28"/>
          <w:highlight w:val="none"/>
        </w:rPr>
        <w:t>本次采购活动未尽事宜的解释权属于</w:t>
      </w: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sz w:val="28"/>
          <w:szCs w:val="28"/>
          <w:highlight w:val="none"/>
        </w:rPr>
        <w:t>。</w:t>
      </w:r>
    </w:p>
    <w:p>
      <w:pPr>
        <w:pStyle w:val="19"/>
        <w:widowControl/>
        <w:spacing w:line="600" w:lineRule="exact"/>
        <w:ind w:left="420" w:firstLine="0" w:firstLineChars="0"/>
        <w:rPr>
          <w:rFonts w:ascii="仿宋_GB2312" w:hAnsi="黑体" w:eastAsia="仿宋_GB2312"/>
          <w:sz w:val="28"/>
          <w:szCs w:val="28"/>
          <w:highlight w:val="none"/>
        </w:rPr>
      </w:pPr>
    </w:p>
    <w:p>
      <w:pPr>
        <w:pStyle w:val="19"/>
        <w:widowControl/>
        <w:spacing w:line="600" w:lineRule="exact"/>
        <w:ind w:left="0" w:leftChars="0" w:firstLine="0" w:firstLineChars="0"/>
        <w:rPr>
          <w:rFonts w:ascii="仿宋_GB2312" w:hAnsi="黑体" w:eastAsia="仿宋_GB2312"/>
          <w:sz w:val="28"/>
          <w:szCs w:val="28"/>
          <w:highlight w:val="none"/>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7" w:name="_Toc1303"/>
      <w:r>
        <w:rPr>
          <w:rFonts w:hint="eastAsia" w:ascii="仿宋_GB2312" w:hAnsi="黑体" w:eastAsia="仿宋_GB2312"/>
          <w:b/>
          <w:sz w:val="28"/>
          <w:szCs w:val="28"/>
          <w:highlight w:val="none"/>
        </w:rPr>
        <w:t>采购内容及要求</w:t>
      </w:r>
      <w:bookmarkEnd w:id="7"/>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rPr>
      </w:pPr>
      <w:r>
        <w:rPr>
          <w:rFonts w:hint="eastAsia" w:ascii="仿宋_GB2312" w:hAnsi="黑体" w:eastAsia="仿宋_GB2312"/>
          <w:b/>
          <w:bCs/>
          <w:sz w:val="28"/>
          <w:szCs w:val="28"/>
          <w:highlight w:val="none"/>
          <w:lang w:eastAsia="zh-CN"/>
        </w:rPr>
        <w:t>采购内容</w:t>
      </w:r>
    </w:p>
    <w:p>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_GB2312" w:hAnsi="黑体" w:eastAsia="仿宋_GB2312"/>
          <w:color w:val="auto"/>
          <w:sz w:val="28"/>
          <w:szCs w:val="28"/>
          <w:highlight w:val="none"/>
          <w:lang w:val="en-US" w:eastAsia="zh-CN"/>
        </w:rPr>
      </w:pPr>
      <w:r>
        <w:rPr>
          <w:rFonts w:hint="eastAsia" w:ascii="仿宋_GB2312" w:hAnsi="黑体" w:eastAsia="仿宋_GB2312"/>
          <w:sz w:val="28"/>
          <w:szCs w:val="28"/>
          <w:highlight w:val="none"/>
          <w:lang w:val="en-US" w:eastAsia="zh-CN"/>
        </w:rPr>
        <w:t>1.</w:t>
      </w:r>
      <w:r>
        <w:rPr>
          <w:rFonts w:hint="eastAsia" w:ascii="仿宋_GB2312" w:hAnsi="黑体" w:eastAsia="仿宋_GB2312"/>
          <w:sz w:val="28"/>
          <w:szCs w:val="28"/>
          <w:highlight w:val="none"/>
        </w:rPr>
        <w:t>采购内容：</w:t>
      </w:r>
      <w:r>
        <w:rPr>
          <w:rFonts w:hint="eastAsia" w:ascii="仿宋_GB2312" w:hAnsi="黑体" w:eastAsia="仿宋_GB2312" w:cstheme="minorBidi"/>
          <w:kern w:val="2"/>
          <w:sz w:val="28"/>
          <w:szCs w:val="28"/>
          <w:highlight w:val="none"/>
          <w:lang w:val="en-US" w:eastAsia="zh-CN" w:bidi="ar-SA"/>
        </w:rPr>
        <w:t>CDN加速服务。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2.服务期限：合同签订之日起3年。</w:t>
      </w:r>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lang w:eastAsia="zh-CN"/>
        </w:rPr>
      </w:pPr>
      <w:r>
        <w:rPr>
          <w:rFonts w:hint="eastAsia" w:ascii="仿宋_GB2312" w:hAnsi="黑体" w:eastAsia="仿宋_GB2312"/>
          <w:b/>
          <w:bCs/>
          <w:sz w:val="28"/>
          <w:szCs w:val="28"/>
          <w:highlight w:val="none"/>
          <w:lang w:eastAsia="zh-CN"/>
        </w:rPr>
        <w:t>采购要求</w:t>
      </w:r>
    </w:p>
    <w:p>
      <w:pPr>
        <w:autoSpaceDE w:val="0"/>
        <w:spacing w:line="600" w:lineRule="exact"/>
        <w:ind w:firstLine="560" w:firstLineChars="200"/>
        <w:rPr>
          <w:rFonts w:hint="eastAsia" w:ascii="楷体" w:hAnsi="楷体" w:eastAsia="楷体" w:cs="楷体"/>
          <w:bCs/>
          <w:color w:val="FF0000"/>
          <w:sz w:val="28"/>
          <w:szCs w:val="28"/>
          <w:lang w:val="en-US" w:eastAsia="zh-CN" w:bidi="ar"/>
        </w:rPr>
      </w:pPr>
      <w:r>
        <w:rPr>
          <w:rFonts w:hint="eastAsia" w:ascii="楷体" w:hAnsi="楷体" w:eastAsia="楷体" w:cs="楷体"/>
          <w:bCs/>
          <w:sz w:val="28"/>
          <w:szCs w:val="28"/>
          <w:lang w:val="en-US" w:eastAsia="zh-CN" w:bidi="ar"/>
        </w:rPr>
        <w:t>（一）技术要求</w:t>
      </w:r>
    </w:p>
    <w:p>
      <w:pPr>
        <w:spacing w:line="600" w:lineRule="exact"/>
        <w:ind w:firstLine="562" w:firstLineChars="200"/>
        <w:jc w:val="left"/>
        <w:outlineLvl w:val="2"/>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1.服务内容</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1.提供中国大陆区域IPv4和IPv6 CDN服务,支持使用https协议和源站域名同步数据，提供包括文字、图片、视频缓存服务。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2.支持配置IP黑白名单。</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3.支持配置基于指定目录的不缓存规则配置，不少于20条。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4.支持配置TLS版本控制,支持版本1.2，1.3。</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5.支持配置通过X-Forward-For获取客户端IP。</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6.支持配置https证书。</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7.日志保存不低于30天，可提供下载服务。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8.支持历史流量查询。</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9.支持API开发工具添加IP黑名单（可选）。</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10.服务期限3年。</w:t>
      </w:r>
    </w:p>
    <w:p>
      <w:pPr>
        <w:spacing w:line="600" w:lineRule="exact"/>
        <w:ind w:firstLine="562" w:firstLineChars="200"/>
        <w:jc w:val="left"/>
        <w:outlineLvl w:val="2"/>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2.服务标准</w:t>
      </w:r>
    </w:p>
    <w:p>
      <w:pPr>
        <w:ind w:firstLine="560" w:firstLineChars="200"/>
        <w:jc w:val="left"/>
        <w:rPr>
          <w:rFonts w:hint="default"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提供7*24小时电话、人工或者工单服务。</w:t>
      </w:r>
    </w:p>
    <w:p>
      <w:pPr>
        <w:spacing w:line="600" w:lineRule="exact"/>
        <w:ind w:firstLine="560" w:firstLineChars="200"/>
        <w:rPr>
          <w:rFonts w:hint="eastAsia" w:ascii="楷体" w:hAnsi="楷体" w:eastAsia="楷体" w:cs="楷体"/>
          <w:bCs/>
          <w:sz w:val="28"/>
          <w:szCs w:val="28"/>
          <w:lang w:val="en-US" w:eastAsia="zh-CN" w:bidi="ar"/>
        </w:rPr>
      </w:pPr>
      <w:r>
        <w:rPr>
          <w:rFonts w:hint="eastAsia" w:ascii="楷体" w:hAnsi="楷体" w:eastAsia="楷体" w:cs="楷体"/>
          <w:bCs/>
          <w:sz w:val="28"/>
          <w:szCs w:val="28"/>
          <w:lang w:val="en-US" w:eastAsia="zh-CN" w:bidi="ar"/>
        </w:rPr>
        <w:t>（二）商务要求</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1.服务期限：合同签订日起3年。</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2.实施地点：CDN服务厂商云平台。</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3.交付要求：充值后自助开通。</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4.付款条件：预充值，每月按实际流量付费。</w:t>
      </w:r>
    </w:p>
    <w:p>
      <w:pPr>
        <w:spacing w:line="600" w:lineRule="exact"/>
        <w:ind w:firstLine="640" w:firstLineChars="200"/>
        <w:rPr>
          <w:rFonts w:hint="eastAsia" w:ascii="仿宋" w:hAnsi="仿宋" w:eastAsia="仿宋"/>
          <w:sz w:val="32"/>
          <w:szCs w:val="32"/>
          <w:lang w:val="en-US" w:eastAsia="zh-CN"/>
        </w:rPr>
      </w:pPr>
    </w:p>
    <w:p>
      <w:pPr>
        <w:pStyle w:val="19"/>
        <w:widowControl/>
        <w:numPr>
          <w:ilvl w:val="0"/>
          <w:numId w:val="1"/>
        </w:numPr>
        <w:ind w:firstLineChars="0"/>
        <w:jc w:val="center"/>
        <w:outlineLvl w:val="0"/>
        <w:rPr>
          <w:rFonts w:ascii="仿宋_GB2312" w:hAnsi="黑体" w:eastAsia="仿宋_GB2312"/>
          <w:b/>
          <w:sz w:val="28"/>
          <w:szCs w:val="28"/>
          <w:highlight w:val="none"/>
        </w:rPr>
      </w:pPr>
      <w:bookmarkStart w:id="8" w:name="_Toc23559"/>
      <w:r>
        <w:rPr>
          <w:rFonts w:hint="eastAsia" w:ascii="仿宋_GB2312" w:hAnsi="黑体" w:eastAsia="仿宋_GB2312"/>
          <w:b/>
          <w:sz w:val="28"/>
          <w:szCs w:val="28"/>
          <w:highlight w:val="none"/>
        </w:rPr>
        <w:t>供应商须知</w:t>
      </w:r>
      <w:bookmarkEnd w:id="8"/>
    </w:p>
    <w:p>
      <w:pPr>
        <w:pStyle w:val="19"/>
        <w:widowControl/>
        <w:numPr>
          <w:ilvl w:val="0"/>
          <w:numId w:val="0"/>
        </w:numPr>
        <w:ind w:leftChars="0"/>
        <w:jc w:val="both"/>
        <w:outlineLvl w:val="0"/>
        <w:rPr>
          <w:rFonts w:ascii="仿宋_GB2312" w:hAnsi="黑体" w:eastAsia="仿宋_GB2312"/>
          <w:b/>
          <w:sz w:val="28"/>
          <w:szCs w:val="28"/>
          <w:highlight w:val="none"/>
        </w:rPr>
      </w:pPr>
    </w:p>
    <w:p>
      <w:pPr>
        <w:pStyle w:val="19"/>
        <w:widowControl/>
        <w:numPr>
          <w:ilvl w:val="0"/>
          <w:numId w:val="6"/>
        </w:numPr>
        <w:ind w:left="840" w:leftChars="0" w:firstLineChars="0"/>
        <w:outlineLvl w:val="1"/>
        <w:rPr>
          <w:rFonts w:hint="eastAsia" w:ascii="仿宋_GB2312" w:hAnsi="黑体" w:eastAsia="仿宋_GB2312"/>
          <w:b/>
          <w:bCs/>
          <w:sz w:val="28"/>
          <w:szCs w:val="28"/>
          <w:highlight w:val="none"/>
        </w:rPr>
      </w:pPr>
      <w:bookmarkStart w:id="9" w:name="_Toc6109"/>
      <w:r>
        <w:rPr>
          <w:rFonts w:hint="eastAsia" w:ascii="仿宋_GB2312" w:hAnsi="黑体" w:eastAsia="仿宋_GB2312"/>
          <w:b/>
          <w:bCs/>
          <w:sz w:val="28"/>
          <w:szCs w:val="28"/>
          <w:highlight w:val="none"/>
        </w:rPr>
        <w:t>供应商资格</w:t>
      </w:r>
      <w:bookmarkEnd w:id="9"/>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2.参与供应商应为有效登记注册的独立企业法人，需提供有效营业执照。</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3.参与供应商近三年内，在经营活动中没有重大违法记录（重大违法记录指因违法经营受到刑事处罚或者责令停产停业、吊销许可证或者执照、较大数额罚款等行政处罚）。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4.参与供应商没有被国家企业信用信息公示系统列入严重违法失信企业名单（黑名单）信息；没有被中国执行信息公开网列入失信被执行人名单信息。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5.供应商应具备工业和信息化部颁发的内容分发网络业务许可证。</w:t>
      </w:r>
    </w:p>
    <w:p>
      <w:pPr>
        <w:pStyle w:val="19"/>
        <w:widowControl/>
        <w:spacing w:line="600" w:lineRule="exact"/>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6.本项目不接受联合体投标，不得转包。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p>
    <w:p>
      <w:pPr>
        <w:keepNext w:val="0"/>
        <w:keepLines w:val="0"/>
        <w:widowControl/>
        <w:suppressLineNumbers w:val="0"/>
        <w:ind w:firstLine="562" w:firstLineChars="200"/>
        <w:jc w:val="left"/>
        <w:rPr>
          <w:rFonts w:hint="eastAsia" w:ascii="仿宋_GB2312" w:hAnsi="黑体" w:eastAsia="仿宋_GB2312" w:cstheme="minorBidi"/>
          <w:b/>
          <w:bCs/>
          <w:kern w:val="2"/>
          <w:sz w:val="28"/>
          <w:szCs w:val="28"/>
          <w:highlight w:val="none"/>
          <w:lang w:val="en-US" w:eastAsia="zh-CN" w:bidi="ar-SA"/>
        </w:rPr>
      </w:pPr>
      <w:r>
        <w:rPr>
          <w:rFonts w:hint="eastAsia" w:ascii="仿宋_GB2312" w:hAnsi="黑体" w:eastAsia="仿宋_GB2312" w:cstheme="minorBidi"/>
          <w:b/>
          <w:bCs/>
          <w:kern w:val="2"/>
          <w:sz w:val="28"/>
          <w:szCs w:val="28"/>
          <w:highlight w:val="none"/>
          <w:lang w:val="en-US" w:eastAsia="zh-CN" w:bidi="ar-SA"/>
        </w:rPr>
        <w:t>以上</w:t>
      </w:r>
      <w:bookmarkStart w:id="16" w:name="_GoBack"/>
      <w:bookmarkEnd w:id="16"/>
      <w:r>
        <w:rPr>
          <w:rFonts w:hint="eastAsia" w:ascii="仿宋_GB2312" w:hAnsi="黑体" w:eastAsia="仿宋_GB2312" w:cstheme="minorBidi"/>
          <w:b/>
          <w:bCs/>
          <w:kern w:val="2"/>
          <w:sz w:val="28"/>
          <w:szCs w:val="28"/>
          <w:highlight w:val="none"/>
          <w:lang w:val="en-US" w:eastAsia="zh-CN" w:bidi="ar-SA"/>
        </w:rPr>
        <w:t>资格要求如无法提供具体证明材料的，需对此作出书面承诺并加盖公章。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
        </w:rPr>
        <w:t>邀请供应商情况说明：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本项目邀请网宿科技、阿里云和腾讯云为本次采购项目参与供应商，与通过投服中心官网征集的供应商一起参与采购评比。鉴于阿里云和和腾讯云CDN服务产品报价已在官网公开展示，采购小组可直接从官网获取CDN服务产品报价和相关资料，不审核其资格和资质证书等证明类材料（默认为已具备）。</w:t>
      </w:r>
    </w:p>
    <w:p>
      <w:pPr>
        <w:pStyle w:val="19"/>
        <w:widowControl/>
        <w:numPr>
          <w:ilvl w:val="0"/>
          <w:numId w:val="6"/>
        </w:numPr>
        <w:ind w:left="840" w:leftChars="0" w:firstLineChars="0"/>
        <w:outlineLvl w:val="1"/>
        <w:rPr>
          <w:rFonts w:ascii="仿宋_GB2312" w:hAnsi="黑体" w:eastAsia="仿宋_GB2312"/>
          <w:b/>
          <w:bCs/>
          <w:sz w:val="28"/>
          <w:szCs w:val="28"/>
          <w:highlight w:val="none"/>
        </w:rPr>
      </w:pPr>
      <w:bookmarkStart w:id="10" w:name="_Toc25018"/>
      <w:r>
        <w:rPr>
          <w:rFonts w:hint="eastAsia" w:ascii="仿宋_GB2312" w:hAnsi="黑体" w:eastAsia="仿宋_GB2312"/>
          <w:b/>
          <w:bCs/>
          <w:sz w:val="28"/>
          <w:szCs w:val="28"/>
          <w:highlight w:val="none"/>
        </w:rPr>
        <w:t>响应文件</w:t>
      </w:r>
      <w:bookmarkEnd w:id="10"/>
    </w:p>
    <w:p>
      <w:pPr>
        <w:pStyle w:val="19"/>
        <w:widowControl/>
        <w:numPr>
          <w:ilvl w:val="0"/>
          <w:numId w:val="7"/>
        </w:numPr>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需根据本文件第二章《采购内容及要求》进行全面响应。</w:t>
      </w:r>
    </w:p>
    <w:p>
      <w:pPr>
        <w:pStyle w:val="19"/>
        <w:widowControl/>
        <w:numPr>
          <w:ilvl w:val="0"/>
          <w:numId w:val="7"/>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需根据本文件第四章《响应文件要求》准备响应文件</w:t>
      </w:r>
      <w:r>
        <w:rPr>
          <w:rFonts w:hint="eastAsia" w:ascii="仿宋_GB2312" w:hAnsi="黑体" w:eastAsia="仿宋_GB2312"/>
          <w:sz w:val="28"/>
          <w:szCs w:val="28"/>
          <w:highlight w:val="none"/>
          <w:lang w:eastAsia="zh-CN"/>
        </w:rPr>
        <w:t>。在</w:t>
      </w:r>
      <w:r>
        <w:rPr>
          <w:rFonts w:hint="eastAsia" w:ascii="仿宋_GB2312" w:hAnsi="黑体" w:eastAsia="仿宋_GB2312"/>
          <w:sz w:val="28"/>
          <w:szCs w:val="28"/>
          <w:highlight w:val="none"/>
        </w:rPr>
        <w:t>截止时间前</w:t>
      </w: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可对所提交的响应文件进行补充、修改或撤回。补充、修改的内容将作为响应文件的组成部分。</w:t>
      </w:r>
    </w:p>
    <w:p>
      <w:pPr>
        <w:pStyle w:val="19"/>
        <w:widowControl/>
        <w:numPr>
          <w:ilvl w:val="0"/>
          <w:numId w:val="6"/>
        </w:numPr>
        <w:spacing w:line="600" w:lineRule="exact"/>
        <w:ind w:left="840" w:leftChars="0" w:firstLineChars="0"/>
        <w:outlineLvl w:val="1"/>
        <w:rPr>
          <w:rFonts w:ascii="仿宋_GB2312" w:hAnsi="黑体" w:eastAsia="仿宋_GB2312"/>
          <w:b/>
          <w:bCs/>
          <w:sz w:val="28"/>
          <w:szCs w:val="28"/>
          <w:highlight w:val="none"/>
        </w:rPr>
      </w:pPr>
      <w:bookmarkStart w:id="11" w:name="_Toc15794"/>
      <w:r>
        <w:rPr>
          <w:rFonts w:hint="eastAsia" w:ascii="仿宋_GB2312" w:hAnsi="黑体" w:eastAsia="仿宋_GB2312"/>
          <w:b/>
          <w:bCs/>
          <w:sz w:val="28"/>
          <w:szCs w:val="28"/>
          <w:highlight w:val="none"/>
        </w:rPr>
        <w:t>竞争性磋商</w:t>
      </w:r>
      <w:bookmarkEnd w:id="11"/>
      <w:r>
        <w:rPr>
          <w:rFonts w:hint="eastAsia" w:ascii="仿宋_GB2312" w:hAnsi="黑体" w:eastAsia="仿宋_GB2312"/>
          <w:b/>
          <w:bCs/>
          <w:sz w:val="28"/>
          <w:szCs w:val="28"/>
          <w:highlight w:val="none"/>
          <w:lang w:eastAsia="zh-CN"/>
        </w:rPr>
        <w:t>流程</w:t>
      </w:r>
    </w:p>
    <w:p>
      <w:pPr>
        <w:pStyle w:val="19"/>
        <w:widowControl/>
        <w:numPr>
          <w:ilvl w:val="0"/>
          <w:numId w:val="8"/>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会议组织</w:t>
      </w:r>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采购人负责召开竞争性磋商会议、谈判及评审工作。供应商委派代表参加磋商会议，向采购人介绍服务方案并进行</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w:t>
      </w:r>
    </w:p>
    <w:p>
      <w:pPr>
        <w:pStyle w:val="19"/>
        <w:widowControl/>
        <w:numPr>
          <w:ilvl w:val="0"/>
          <w:numId w:val="8"/>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磋商原则</w:t>
      </w:r>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采购人遵循公平、公正的原则进行磋商，采用同一程序和标准对供应商进行评估。</w:t>
      </w:r>
    </w:p>
    <w:p>
      <w:pPr>
        <w:pStyle w:val="19"/>
        <w:widowControl/>
        <w:numPr>
          <w:ilvl w:val="0"/>
          <w:numId w:val="8"/>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评审方法</w:t>
      </w:r>
    </w:p>
    <w:p>
      <w:pPr>
        <w:pStyle w:val="19"/>
        <w:widowControl/>
        <w:numPr>
          <w:ilvl w:val="-1"/>
          <w:numId w:val="0"/>
        </w:numPr>
        <w:spacing w:line="600" w:lineRule="exact"/>
        <w:ind w:left="0"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rPr>
        <w:t>采购人采用</w:t>
      </w:r>
      <w:r>
        <w:rPr>
          <w:rFonts w:hint="eastAsia" w:ascii="仿宋_GB2312" w:hAnsi="黑体" w:eastAsia="仿宋_GB2312"/>
          <w:sz w:val="28"/>
          <w:szCs w:val="28"/>
          <w:highlight w:val="none"/>
          <w:lang w:eastAsia="zh-CN"/>
        </w:rPr>
        <w:t>以下</w:t>
      </w:r>
      <w:r>
        <w:rPr>
          <w:rFonts w:hint="eastAsia" w:ascii="仿宋_GB2312" w:hAnsi="黑体" w:eastAsia="仿宋_GB2312"/>
          <w:sz w:val="28"/>
          <w:szCs w:val="28"/>
          <w:highlight w:val="none"/>
          <w:lang w:val="en-US" w:eastAsia="zh-CN"/>
        </w:rPr>
        <w:t>评分表</w:t>
      </w:r>
      <w:r>
        <w:rPr>
          <w:rFonts w:hint="eastAsia" w:ascii="仿宋_GB2312" w:hAnsi="黑体" w:eastAsia="仿宋_GB2312"/>
          <w:sz w:val="28"/>
          <w:szCs w:val="28"/>
          <w:highlight w:val="none"/>
        </w:rPr>
        <w:t>对供应商进行评估打分</w:t>
      </w:r>
      <w:r>
        <w:rPr>
          <w:rFonts w:hint="eastAsia" w:ascii="仿宋_GB2312" w:hAnsi="黑体" w:eastAsia="仿宋_GB2312"/>
          <w:sz w:val="28"/>
          <w:szCs w:val="28"/>
          <w:highlight w:val="none"/>
          <w:lang w:eastAsia="zh-CN"/>
        </w:rPr>
        <w:t>，确定</w:t>
      </w:r>
      <w:r>
        <w:rPr>
          <w:rFonts w:hint="eastAsia" w:ascii="仿宋_GB2312" w:hAnsi="黑体" w:eastAsia="仿宋_GB2312"/>
          <w:sz w:val="28"/>
          <w:szCs w:val="28"/>
          <w:highlight w:val="none"/>
          <w:lang w:val="en-US" w:eastAsia="zh-CN"/>
        </w:rPr>
        <w:t>1家成交供应商</w:t>
      </w:r>
      <w:r>
        <w:rPr>
          <w:rFonts w:hint="eastAsia" w:ascii="仿宋_GB2312" w:hAnsi="黑体" w:eastAsia="仿宋_GB2312"/>
          <w:sz w:val="28"/>
          <w:szCs w:val="28"/>
          <w:highlight w:val="none"/>
        </w:rPr>
        <w:t>。</w:t>
      </w:r>
    </w:p>
    <w:p>
      <w:pPr>
        <w:pStyle w:val="19"/>
        <w:widowControl/>
        <w:numPr>
          <w:ilvl w:val="-1"/>
          <w:numId w:val="0"/>
        </w:numPr>
        <w:spacing w:line="600" w:lineRule="exact"/>
        <w:ind w:left="0"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价格分以最低有效报价作为基准价，其价格为满分。其他供应商的价格分按公式计算：投标报价得分</w:t>
      </w:r>
      <w:r>
        <w:rPr>
          <w:rFonts w:hint="eastAsia" w:ascii="仿宋_GB2312" w:hAnsi="黑体" w:eastAsia="仿宋_GB2312"/>
          <w:color w:val="auto"/>
          <w:sz w:val="28"/>
          <w:szCs w:val="28"/>
          <w:highlight w:val="none"/>
          <w:lang w:val="en-US" w:eastAsia="zh-CN"/>
        </w:rPr>
        <w:t>=（评标基准价÷投标报价）x价格权值x100。</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具体指标</w:t>
      </w:r>
      <w:r>
        <w:rPr>
          <w:rFonts w:hint="eastAsia" w:ascii="仿宋_GB2312" w:hAnsi="黑体" w:eastAsia="仿宋_GB2312"/>
          <w:sz w:val="28"/>
          <w:szCs w:val="28"/>
          <w:highlight w:val="none"/>
          <w:lang w:val="en-US" w:eastAsia="zh-CN"/>
        </w:rPr>
        <w:t>、分值和评分细则</w:t>
      </w:r>
      <w:r>
        <w:rPr>
          <w:rFonts w:hint="eastAsia" w:ascii="仿宋_GB2312" w:hAnsi="黑体" w:eastAsia="仿宋_GB2312"/>
          <w:sz w:val="28"/>
          <w:szCs w:val="28"/>
          <w:highlight w:val="none"/>
        </w:rPr>
        <w:t>如下：</w:t>
      </w:r>
    </w:p>
    <w:tbl>
      <w:tblPr>
        <w:tblStyle w:val="12"/>
        <w:tblW w:w="8901" w:type="dxa"/>
        <w:jc w:val="center"/>
        <w:tblLayout w:type="fixed"/>
        <w:tblCellMar>
          <w:top w:w="0" w:type="dxa"/>
          <w:left w:w="108" w:type="dxa"/>
          <w:bottom w:w="0" w:type="dxa"/>
          <w:right w:w="108" w:type="dxa"/>
        </w:tblCellMar>
      </w:tblPr>
      <w:tblGrid>
        <w:gridCol w:w="1463"/>
        <w:gridCol w:w="3073"/>
        <w:gridCol w:w="1247"/>
        <w:gridCol w:w="3118"/>
      </w:tblGrid>
      <w:tr>
        <w:tblPrEx>
          <w:tblCellMar>
            <w:top w:w="0" w:type="dxa"/>
            <w:left w:w="108" w:type="dxa"/>
            <w:bottom w:w="0" w:type="dxa"/>
            <w:right w:w="108" w:type="dxa"/>
          </w:tblCellMar>
        </w:tblPrEx>
        <w:trPr>
          <w:trHeight w:val="567"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评分项目</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lang w:eastAsia="zh-CN"/>
              </w:rPr>
            </w:pPr>
            <w:r>
              <w:rPr>
                <w:rFonts w:hint="default" w:ascii="仿宋" w:hAnsi="仿宋" w:eastAsia="仿宋" w:cs="仿宋"/>
                <w:b/>
                <w:bCs/>
                <w:color w:val="000000"/>
                <w:kern w:val="0"/>
                <w:sz w:val="24"/>
                <w:szCs w:val="24"/>
                <w:highlight w:val="none"/>
                <w:lang w:eastAsia="zh-CN" w:bidi="ar"/>
              </w:rPr>
              <w:t>评分指标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分值区间</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eastAsia="zh" w:bidi="ar"/>
              </w:rPr>
              <w:t>评分标准</w:t>
            </w:r>
          </w:p>
        </w:tc>
      </w:tr>
      <w:tr>
        <w:tblPrEx>
          <w:tblCellMar>
            <w:top w:w="0" w:type="dxa"/>
            <w:left w:w="108" w:type="dxa"/>
            <w:bottom w:w="0" w:type="dxa"/>
            <w:right w:w="108" w:type="dxa"/>
          </w:tblCellMar>
        </w:tblPrEx>
        <w:trPr>
          <w:trHeight w:val="1304"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商务</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证明文件</w:t>
            </w:r>
          </w:p>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（公司实力、资质证书等）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根据项目内容、规模等因素选用与项目紧密相关的资质认证进行评价，每提供一项得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既往案例</w:t>
            </w:r>
          </w:p>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（与本项目相关的投标人或产品的案例）</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每提供一项得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
              </w:rPr>
              <w:t>分</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1476" w:hRule="atLeast"/>
          <w:jc w:val="center"/>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技术</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40%</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default" w:ascii="仿宋" w:hAnsi="仿宋" w:eastAsia="仿宋" w:cs="仿宋"/>
                <w:color w:val="000000"/>
                <w:kern w:val="0"/>
                <w:sz w:val="24"/>
                <w:szCs w:val="24"/>
                <w:highlight w:val="none"/>
                <w:lang w:eastAsia="zh" w:bidi="ar"/>
              </w:rPr>
              <w:t>配置IP黑白名单</w:t>
            </w:r>
            <w:r>
              <w:rPr>
                <w:rFonts w:hint="eastAsia" w:ascii="仿宋" w:hAnsi="仿宋" w:eastAsia="仿宋" w:cs="仿宋"/>
                <w:color w:val="000000"/>
                <w:kern w:val="0"/>
                <w:sz w:val="24"/>
                <w:szCs w:val="24"/>
                <w:highlight w:val="none"/>
                <w:lang w:eastAsia="zh-CN" w:bidi="ar"/>
              </w:rPr>
              <w:t>的数量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leftChars="0" w:right="0" w:firstLine="0" w:firstLineChars="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 w:bidi="ar"/>
              </w:rPr>
              <w:t>配置基于指定目录的不缓存规则配置</w:t>
            </w:r>
            <w:r>
              <w:rPr>
                <w:rFonts w:hint="eastAsia" w:ascii="仿宋" w:hAnsi="仿宋" w:eastAsia="仿宋" w:cs="仿宋"/>
                <w:color w:val="000000"/>
                <w:kern w:val="0"/>
                <w:sz w:val="24"/>
                <w:szCs w:val="24"/>
                <w:highlight w:val="none"/>
                <w:lang w:val="en-US" w:eastAsia="zh-CN"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default" w:ascii="仿宋" w:hAnsi="仿宋" w:eastAsia="仿宋" w:cs="仿宋"/>
                <w:color w:val="000000"/>
                <w:kern w:val="0"/>
                <w:sz w:val="24"/>
                <w:szCs w:val="24"/>
                <w:highlight w:val="none"/>
                <w:lang w:eastAsia="zh" w:bidi="ar"/>
              </w:rPr>
              <w:t>历史流量查询</w:t>
            </w:r>
            <w:r>
              <w:rPr>
                <w:rFonts w:hint="eastAsia" w:ascii="仿宋" w:hAnsi="仿宋" w:eastAsia="仿宋" w:cs="仿宋"/>
                <w:color w:val="000000"/>
                <w:kern w:val="0"/>
                <w:sz w:val="24"/>
                <w:szCs w:val="24"/>
                <w:highlight w:val="none"/>
                <w:lang w:eastAsia="zh-CN" w:bidi="ar"/>
              </w:rPr>
              <w:t>的时间跨度</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CN" w:bidi="ar"/>
              </w:rPr>
              <w:t>支持通过</w:t>
            </w:r>
            <w:r>
              <w:rPr>
                <w:rFonts w:hint="eastAsia" w:ascii="仿宋" w:hAnsi="仿宋" w:eastAsia="仿宋" w:cs="仿宋"/>
                <w:color w:val="000000"/>
                <w:kern w:val="0"/>
                <w:sz w:val="24"/>
                <w:szCs w:val="24"/>
                <w:highlight w:val="none"/>
                <w:lang w:val="en-US" w:eastAsia="zh-CN" w:bidi="ar"/>
              </w:rPr>
              <w:t>API</w:t>
            </w:r>
            <w:r>
              <w:rPr>
                <w:rFonts w:hint="default" w:ascii="仿宋" w:hAnsi="仿宋" w:eastAsia="仿宋" w:cs="仿宋"/>
                <w:color w:val="000000"/>
                <w:kern w:val="0"/>
                <w:sz w:val="24"/>
                <w:szCs w:val="24"/>
                <w:highlight w:val="none"/>
                <w:lang w:eastAsia="zh" w:bidi="ar"/>
              </w:rPr>
              <w:t>开发</w:t>
            </w:r>
            <w:r>
              <w:rPr>
                <w:rFonts w:hint="eastAsia" w:ascii="仿宋" w:hAnsi="仿宋" w:eastAsia="仿宋" w:cs="仿宋"/>
                <w:color w:val="000000"/>
                <w:kern w:val="0"/>
                <w:sz w:val="24"/>
                <w:szCs w:val="24"/>
                <w:highlight w:val="none"/>
                <w:lang w:eastAsia="zh-CN" w:bidi="ar"/>
              </w:rPr>
              <w:t>软件</w:t>
            </w:r>
            <w:r>
              <w:rPr>
                <w:rFonts w:hint="default" w:ascii="仿宋" w:hAnsi="仿宋" w:eastAsia="仿宋" w:cs="仿宋"/>
                <w:color w:val="000000"/>
                <w:kern w:val="0"/>
                <w:sz w:val="24"/>
                <w:szCs w:val="24"/>
                <w:highlight w:val="none"/>
                <w:lang w:eastAsia="zh" w:bidi="ar"/>
              </w:rPr>
              <w:t>工具添加IP黑名单</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10%</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达到要求：10，未达到要求：0</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日志保存期限</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仿宋"/>
                <w:color w:val="000000"/>
                <w:sz w:val="24"/>
                <w:szCs w:val="24"/>
                <w:highlight w:val="none"/>
              </w:rPr>
            </w:pP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售后服务</w:t>
            </w:r>
          </w:p>
          <w:p>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（服务方式、响应时间等）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eastAsia="zh" w:bidi="ar"/>
              </w:rPr>
              <w:t>0</w:t>
            </w:r>
            <w:r>
              <w:rPr>
                <w:rFonts w:hint="eastAsia" w:ascii="仿宋" w:hAnsi="仿宋" w:eastAsia="仿宋" w:cs="仿宋"/>
                <w:color w:val="000000"/>
                <w:kern w:val="0"/>
                <w:sz w:val="24"/>
                <w:szCs w:val="24"/>
                <w:highlight w:val="none"/>
                <w:lang w:val="en-US" w:eastAsia="zh-CN" w:bidi="ar"/>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lang w:eastAsia="zh"/>
              </w:rPr>
              <w:t>文件要求：</w:t>
            </w:r>
            <w:r>
              <w:rPr>
                <w:rFonts w:hint="eastAsia" w:ascii="仿宋" w:hAnsi="仿宋" w:eastAsia="仿宋" w:cs="仿宋"/>
                <w:color w:val="000000"/>
                <w:sz w:val="24"/>
                <w:szCs w:val="24"/>
                <w:highlight w:val="none"/>
                <w:lang w:val="en-US" w:eastAsia="zh-CN"/>
              </w:rPr>
              <w:t>8-10</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4-7</w:t>
            </w:r>
            <w:r>
              <w:rPr>
                <w:rFonts w:hint="eastAsia" w:ascii="仿宋" w:hAnsi="仿宋" w:eastAsia="仿宋" w:cs="仿宋"/>
                <w:color w:val="000000"/>
                <w:sz w:val="24"/>
                <w:szCs w:val="24"/>
                <w:highlight w:val="none"/>
                <w:lang w:eastAsia="zh"/>
              </w:rPr>
              <w:t>，基本达到要求：</w:t>
            </w:r>
            <w:r>
              <w:rPr>
                <w:rFonts w:hint="default" w:ascii="仿宋" w:hAnsi="仿宋" w:eastAsia="仿宋" w:cs="仿宋"/>
                <w:color w:val="000000"/>
                <w:sz w:val="24"/>
                <w:szCs w:val="24"/>
                <w:highlight w:val="none"/>
                <w:lang w:eastAsia="zh"/>
              </w:rPr>
              <w:t>0-</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p>
        </w:tc>
      </w:tr>
      <w:tr>
        <w:tblPrEx>
          <w:tblCellMar>
            <w:top w:w="0" w:type="dxa"/>
            <w:left w:w="108" w:type="dxa"/>
            <w:bottom w:w="0" w:type="dxa"/>
            <w:right w:w="108" w:type="dxa"/>
          </w:tblCellMar>
        </w:tblPrEx>
        <w:trPr>
          <w:trHeight w:val="964"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价格</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50</w:t>
            </w:r>
            <w:r>
              <w:rPr>
                <w:rFonts w:hint="default"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bidi="ar"/>
              </w:rPr>
              <w:t>）</w:t>
            </w:r>
          </w:p>
        </w:tc>
        <w:tc>
          <w:tcPr>
            <w:tcW w:w="3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报价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50</w:t>
            </w:r>
            <w:r>
              <w:rPr>
                <w:rFonts w:hint="default" w:ascii="仿宋" w:hAnsi="仿宋" w:eastAsia="仿宋" w:cs="仿宋"/>
                <w:color w:val="000000"/>
                <w:kern w:val="0"/>
                <w:sz w:val="24"/>
                <w:szCs w:val="24"/>
                <w:highlight w:val="none"/>
                <w:lang w:bidi="ar"/>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根据预估流量评估每月费用金额</w:t>
            </w:r>
          </w:p>
        </w:tc>
      </w:tr>
    </w:tbl>
    <w:p>
      <w:pPr>
        <w:pStyle w:val="19"/>
        <w:widowControl/>
        <w:numPr>
          <w:ilvl w:val="-1"/>
          <w:numId w:val="0"/>
        </w:numPr>
        <w:spacing w:line="600" w:lineRule="exact"/>
        <w:rPr>
          <w:rFonts w:hint="eastAsia" w:ascii="仿宋_GB2312" w:hAnsi="黑体" w:eastAsia="仿宋_GB2312"/>
          <w:color w:val="auto"/>
          <w:sz w:val="28"/>
          <w:szCs w:val="28"/>
          <w:highlight w:val="none"/>
          <w:lang w:val="en-US" w:eastAsia="zh-CN"/>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2" w:name="_Toc11603"/>
      <w:r>
        <w:rPr>
          <w:rFonts w:hint="eastAsia" w:ascii="仿宋_GB2312" w:hAnsi="黑体" w:eastAsia="仿宋_GB2312"/>
          <w:b/>
          <w:sz w:val="28"/>
          <w:szCs w:val="28"/>
          <w:highlight w:val="none"/>
        </w:rPr>
        <w:t>响应文件要求</w:t>
      </w:r>
      <w:bookmarkEnd w:id="12"/>
    </w:p>
    <w:p>
      <w:pPr>
        <w:pStyle w:val="19"/>
        <w:widowControl/>
        <w:numPr>
          <w:ilvl w:val="0"/>
          <w:numId w:val="0"/>
        </w:numPr>
        <w:spacing w:line="600" w:lineRule="exact"/>
        <w:ind w:leftChars="0"/>
        <w:jc w:val="both"/>
        <w:outlineLvl w:val="0"/>
        <w:rPr>
          <w:rFonts w:ascii="仿宋_GB2312" w:hAnsi="黑体" w:eastAsia="仿宋_GB2312"/>
          <w:b/>
          <w:sz w:val="28"/>
          <w:szCs w:val="28"/>
          <w:highlight w:val="none"/>
        </w:rPr>
      </w:pP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3" w:name="_Toc21217"/>
      <w:r>
        <w:rPr>
          <w:rFonts w:hint="eastAsia" w:ascii="仿宋_GB2312" w:hAnsi="黑体" w:eastAsia="仿宋_GB2312"/>
          <w:b/>
          <w:bCs/>
          <w:sz w:val="28"/>
          <w:szCs w:val="28"/>
          <w:highlight w:val="none"/>
        </w:rPr>
        <w:t>响应文件编制</w:t>
      </w:r>
      <w:bookmarkEnd w:id="13"/>
    </w:p>
    <w:p>
      <w:pPr>
        <w:pStyle w:val="19"/>
        <w:numPr>
          <w:ilvl w:val="0"/>
          <w:numId w:val="10"/>
        </w:numPr>
        <w:spacing w:line="600" w:lineRule="exact"/>
        <w:ind w:left="840" w:leftChars="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供应商响应文件需包含以下部分：</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满足供应商资格的证明文件</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w:t>
      </w:r>
      <w:r>
        <w:rPr>
          <w:rFonts w:hint="eastAsia" w:ascii="仿宋_GB2312" w:hAnsi="黑体" w:eastAsia="仿宋_GB2312"/>
          <w:sz w:val="28"/>
          <w:szCs w:val="28"/>
          <w:highlight w:val="none"/>
          <w:lang w:eastAsia="zh-CN"/>
        </w:rPr>
        <w:t>二</w:t>
      </w:r>
      <w:r>
        <w:rPr>
          <w:rFonts w:hint="eastAsia" w:ascii="仿宋_GB2312" w:hAnsi="黑体" w:eastAsia="仿宋_GB2312"/>
          <w:sz w:val="28"/>
          <w:szCs w:val="28"/>
          <w:highlight w:val="none"/>
        </w:rPr>
        <w:t>章</w:t>
      </w:r>
      <w:r>
        <w:rPr>
          <w:rFonts w:hint="eastAsia" w:ascii="仿宋_GB2312" w:hAnsi="黑体" w:eastAsia="仿宋_GB2312"/>
          <w:sz w:val="28"/>
          <w:szCs w:val="28"/>
          <w:highlight w:val="none"/>
          <w:lang w:val="en-US" w:eastAsia="zh-CN"/>
        </w:rPr>
        <w:t>采购要求，逐项应答偏离情况。</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w:t>
      </w:r>
      <w:r>
        <w:rPr>
          <w:rFonts w:hint="eastAsia" w:ascii="仿宋_GB2312" w:hAnsi="黑体" w:eastAsia="仿宋_GB2312"/>
          <w:sz w:val="28"/>
          <w:szCs w:val="28"/>
          <w:highlight w:val="none"/>
          <w:lang w:val="en-US" w:eastAsia="zh-CN"/>
        </w:rPr>
        <w:t>三</w:t>
      </w:r>
      <w:r>
        <w:rPr>
          <w:rFonts w:hint="eastAsia" w:ascii="仿宋_GB2312" w:hAnsi="黑体" w:eastAsia="仿宋_GB2312"/>
          <w:sz w:val="28"/>
          <w:szCs w:val="28"/>
          <w:highlight w:val="none"/>
        </w:rPr>
        <w:t>章</w:t>
      </w:r>
      <w:r>
        <w:rPr>
          <w:rFonts w:hint="eastAsia" w:ascii="仿宋_GB2312" w:hAnsi="黑体" w:eastAsia="仿宋_GB2312"/>
          <w:sz w:val="28"/>
          <w:szCs w:val="28"/>
          <w:highlight w:val="none"/>
          <w:lang w:val="en-US" w:eastAsia="zh-CN"/>
        </w:rPr>
        <w:t>供应商须知及评分表细项要求，逐项提供对应材料。</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供应商应准备加盖供应商公章</w:t>
      </w:r>
      <w:r>
        <w:rPr>
          <w:rFonts w:hint="eastAsia" w:ascii="仿宋_GB2312" w:hAnsi="黑体" w:eastAsia="仿宋_GB2312"/>
          <w:sz w:val="28"/>
          <w:szCs w:val="28"/>
          <w:highlight w:val="none"/>
          <w:lang w:val="en-US" w:eastAsia="zh-CN"/>
        </w:rPr>
        <w:t>或法定代表人签字确认</w:t>
      </w:r>
      <w:r>
        <w:rPr>
          <w:rFonts w:hint="eastAsia" w:ascii="仿宋_GB2312" w:hAnsi="黑体" w:eastAsia="仿宋_GB2312"/>
          <w:sz w:val="28"/>
          <w:szCs w:val="28"/>
          <w:highlight w:val="none"/>
          <w:lang w:eastAsia="zh-CN"/>
        </w:rPr>
        <w:t>的</w:t>
      </w:r>
      <w:r>
        <w:rPr>
          <w:rFonts w:hint="eastAsia" w:ascii="仿宋_GB2312" w:hAnsi="黑体" w:eastAsia="仿宋_GB2312"/>
          <w:sz w:val="28"/>
          <w:szCs w:val="28"/>
          <w:highlight w:val="none"/>
        </w:rPr>
        <w:t>响应文</w:t>
      </w:r>
      <w:r>
        <w:rPr>
          <w:rFonts w:hint="eastAsia" w:ascii="仿宋_GB2312" w:hAnsi="黑体" w:eastAsia="仿宋_GB2312"/>
          <w:sz w:val="28"/>
          <w:szCs w:val="28"/>
          <w:highlight w:val="none"/>
          <w:lang w:val="en-US" w:eastAsia="zh-CN"/>
        </w:rPr>
        <w:t>件</w:t>
      </w:r>
      <w:r>
        <w:rPr>
          <w:rFonts w:hint="eastAsia" w:ascii="仿宋_GB2312" w:hAnsi="黑体" w:eastAsia="仿宋_GB2312"/>
          <w:sz w:val="28"/>
          <w:szCs w:val="28"/>
          <w:highlight w:val="none"/>
        </w:rPr>
        <w:t>。</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所有响应文件均采用封袋整体密封，在规定的</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时间前不得启封。在封袋正面标明项目名称、供应商名称等内容。</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供应商有二次报价需求的，可自行携带已盖章的报价单，磋商会议结束后进行二次报价（最终报价）。</w:t>
      </w: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4" w:name="_Toc31459"/>
      <w:r>
        <w:rPr>
          <w:rFonts w:hint="eastAsia" w:ascii="仿宋_GB2312" w:hAnsi="黑体" w:eastAsia="仿宋_GB2312"/>
          <w:b/>
          <w:bCs/>
          <w:sz w:val="28"/>
          <w:szCs w:val="28"/>
          <w:highlight w:val="none"/>
        </w:rPr>
        <w:t>响应文件有效期</w:t>
      </w:r>
      <w:bookmarkEnd w:id="14"/>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有效期至竞争性磋商结束之日，对成交供应商，延长至合同执行完毕时止。</w:t>
      </w: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5" w:name="_Toc20168"/>
      <w:r>
        <w:rPr>
          <w:rFonts w:hint="eastAsia" w:ascii="仿宋_GB2312" w:hAnsi="黑体" w:eastAsia="仿宋_GB2312"/>
          <w:b/>
          <w:bCs/>
          <w:sz w:val="28"/>
          <w:szCs w:val="28"/>
          <w:highlight w:val="none"/>
        </w:rPr>
        <w:t>响应文件递交</w:t>
      </w:r>
      <w:bookmarkEnd w:id="15"/>
    </w:p>
    <w:p>
      <w:pPr>
        <w:widowControl/>
        <w:spacing w:line="600" w:lineRule="exact"/>
        <w:ind w:firstLine="560" w:firstLineChars="20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rPr>
        <w:t>供应商应</w:t>
      </w:r>
      <w:r>
        <w:rPr>
          <w:rFonts w:hint="eastAsia" w:ascii="仿宋_GB2312" w:hAnsi="黑体" w:eastAsia="仿宋_GB2312"/>
          <w:sz w:val="28"/>
          <w:szCs w:val="28"/>
          <w:highlight w:val="none"/>
          <w:lang w:eastAsia="zh-CN"/>
        </w:rPr>
        <w:t>于磋商当天递交</w:t>
      </w:r>
      <w:r>
        <w:rPr>
          <w:rFonts w:hint="eastAsia" w:ascii="仿宋_GB2312" w:hAnsi="黑体" w:eastAsia="仿宋_GB2312"/>
          <w:sz w:val="28"/>
          <w:szCs w:val="28"/>
          <w:highlight w:val="none"/>
        </w:rPr>
        <w:t>响应文件。在截止时间后送达的响应文件为无效文件，采购人将予以拒收。</w:t>
      </w: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7665"/>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BB1F"/>
    <w:multiLevelType w:val="singleLevel"/>
    <w:tmpl w:val="B6FFBB1F"/>
    <w:lvl w:ilvl="0" w:tentative="0">
      <w:start w:val="1"/>
      <w:numFmt w:val="chineseCounting"/>
      <w:suff w:val="nothing"/>
      <w:lvlText w:val="%1、"/>
      <w:lvlJc w:val="left"/>
      <w:pPr>
        <w:ind w:left="0" w:firstLine="420"/>
      </w:pPr>
      <w:rPr>
        <w:rFonts w:hint="eastAsia"/>
      </w:rPr>
    </w:lvl>
  </w:abstractNum>
  <w:abstractNum w:abstractNumId="1">
    <w:nsid w:val="CBD6EBE4"/>
    <w:multiLevelType w:val="singleLevel"/>
    <w:tmpl w:val="CBD6EBE4"/>
    <w:lvl w:ilvl="0" w:tentative="0">
      <w:start w:val="1"/>
      <w:numFmt w:val="decimal"/>
      <w:suff w:val="nothing"/>
      <w:lvlText w:val="%1．"/>
      <w:lvlJc w:val="left"/>
      <w:pPr>
        <w:ind w:left="0" w:firstLine="400"/>
      </w:pPr>
      <w:rPr>
        <w:rFonts w:hint="default"/>
      </w:rPr>
    </w:lvl>
  </w:abstractNum>
  <w:abstractNum w:abstractNumId="2">
    <w:nsid w:val="DBB9F74C"/>
    <w:multiLevelType w:val="singleLevel"/>
    <w:tmpl w:val="DBB9F74C"/>
    <w:lvl w:ilvl="0" w:tentative="0">
      <w:start w:val="1"/>
      <w:numFmt w:val="decimal"/>
      <w:suff w:val="nothing"/>
      <w:lvlText w:val="%1．"/>
      <w:lvlJc w:val="left"/>
      <w:pPr>
        <w:ind w:left="420" w:firstLine="400"/>
      </w:pPr>
      <w:rPr>
        <w:rFonts w:hint="default"/>
      </w:rPr>
    </w:lvl>
  </w:abstractNum>
  <w:abstractNum w:abstractNumId="3">
    <w:nsid w:val="FB7EFDF4"/>
    <w:multiLevelType w:val="singleLevel"/>
    <w:tmpl w:val="FB7EFDF4"/>
    <w:lvl w:ilvl="0" w:tentative="0">
      <w:start w:val="1"/>
      <w:numFmt w:val="decimal"/>
      <w:suff w:val="nothing"/>
      <w:lvlText w:val="%1．"/>
      <w:lvlJc w:val="left"/>
      <w:pPr>
        <w:ind w:left="0" w:firstLine="400"/>
      </w:pPr>
      <w:rPr>
        <w:rFonts w:hint="default"/>
      </w:rPr>
    </w:lvl>
  </w:abstractNum>
  <w:abstractNum w:abstractNumId="4">
    <w:nsid w:val="FBFFDC37"/>
    <w:multiLevelType w:val="singleLevel"/>
    <w:tmpl w:val="FBFFDC37"/>
    <w:lvl w:ilvl="0" w:tentative="0">
      <w:start w:val="1"/>
      <w:numFmt w:val="decimal"/>
      <w:suff w:val="nothing"/>
      <w:lvlText w:val="%1．"/>
      <w:lvlJc w:val="left"/>
      <w:pPr>
        <w:ind w:left="0" w:firstLine="400"/>
      </w:pPr>
      <w:rPr>
        <w:rFonts w:hint="default"/>
      </w:rPr>
    </w:lvl>
  </w:abstractNum>
  <w:abstractNum w:abstractNumId="5">
    <w:nsid w:val="FF5BF341"/>
    <w:multiLevelType w:val="singleLevel"/>
    <w:tmpl w:val="FF5BF341"/>
    <w:lvl w:ilvl="0" w:tentative="0">
      <w:start w:val="1"/>
      <w:numFmt w:val="decimal"/>
      <w:suff w:val="nothing"/>
      <w:lvlText w:val="%1．"/>
      <w:lvlJc w:val="left"/>
      <w:pPr>
        <w:ind w:left="0" w:firstLine="400"/>
      </w:pPr>
      <w:rPr>
        <w:rFonts w:hint="default"/>
      </w:rPr>
    </w:lvl>
  </w:abstractNum>
  <w:abstractNum w:abstractNumId="6">
    <w:nsid w:val="19CD74E4"/>
    <w:multiLevelType w:val="multilevel"/>
    <w:tmpl w:val="19CD74E4"/>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4AFA1C50"/>
    <w:multiLevelType w:val="multilevel"/>
    <w:tmpl w:val="4AFA1C50"/>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8">
    <w:nsid w:val="65CE6123"/>
    <w:multiLevelType w:val="multilevel"/>
    <w:tmpl w:val="65CE6123"/>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9">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FDFF7F"/>
    <w:multiLevelType w:val="singleLevel"/>
    <w:tmpl w:val="7BFDFF7F"/>
    <w:lvl w:ilvl="0" w:tentative="0">
      <w:start w:val="1"/>
      <w:numFmt w:val="chineseCounting"/>
      <w:suff w:val="nothing"/>
      <w:lvlText w:val="%1、"/>
      <w:lvlJc w:val="left"/>
      <w:pPr>
        <w:ind w:left="0" w:firstLine="567"/>
      </w:pPr>
      <w:rPr>
        <w:rFonts w:hint="eastAsia"/>
      </w:rPr>
    </w:lvl>
  </w:abstractNum>
  <w:num w:numId="1">
    <w:abstractNumId w:val="9"/>
  </w:num>
  <w:num w:numId="2">
    <w:abstractNumId w:val="10"/>
  </w:num>
  <w:num w:numId="3">
    <w:abstractNumId w:val="5"/>
  </w:num>
  <w:num w:numId="4">
    <w:abstractNumId w:val="4"/>
  </w:num>
  <w:num w:numId="5">
    <w:abstractNumId w:val="0"/>
  </w:num>
  <w:num w:numId="6">
    <w:abstractNumId w:val="8"/>
  </w:num>
  <w:num w:numId="7">
    <w:abstractNumId w:val="1"/>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850375"/>
    <w:rsid w:val="0C8678C1"/>
    <w:rsid w:val="0CBA6291"/>
    <w:rsid w:val="0D6B0915"/>
    <w:rsid w:val="0DD158FD"/>
    <w:rsid w:val="0E9F054C"/>
    <w:rsid w:val="0EE505E5"/>
    <w:rsid w:val="0EF84CB5"/>
    <w:rsid w:val="11836E95"/>
    <w:rsid w:val="147D07CE"/>
    <w:rsid w:val="14BB2C7E"/>
    <w:rsid w:val="154C0CC3"/>
    <w:rsid w:val="1677582F"/>
    <w:rsid w:val="19815FCF"/>
    <w:rsid w:val="1BC4458A"/>
    <w:rsid w:val="1C204226"/>
    <w:rsid w:val="1E25719A"/>
    <w:rsid w:val="1FFB9180"/>
    <w:rsid w:val="20452237"/>
    <w:rsid w:val="21FC60F3"/>
    <w:rsid w:val="259D1795"/>
    <w:rsid w:val="263F97F3"/>
    <w:rsid w:val="28AD006E"/>
    <w:rsid w:val="2A1A6109"/>
    <w:rsid w:val="2ADB05F6"/>
    <w:rsid w:val="2BE3211A"/>
    <w:rsid w:val="2D2417AA"/>
    <w:rsid w:val="2D7176B6"/>
    <w:rsid w:val="2EBF2353"/>
    <w:rsid w:val="30D53FF2"/>
    <w:rsid w:val="32946EAA"/>
    <w:rsid w:val="335B3495"/>
    <w:rsid w:val="33913A5E"/>
    <w:rsid w:val="36BF8C70"/>
    <w:rsid w:val="37305FF2"/>
    <w:rsid w:val="38341229"/>
    <w:rsid w:val="3B2F02AB"/>
    <w:rsid w:val="3DFF2006"/>
    <w:rsid w:val="3EA70C2A"/>
    <w:rsid w:val="3FCF73BD"/>
    <w:rsid w:val="401A1988"/>
    <w:rsid w:val="41941DCE"/>
    <w:rsid w:val="425E0452"/>
    <w:rsid w:val="435A7F52"/>
    <w:rsid w:val="468F0A5F"/>
    <w:rsid w:val="49E57820"/>
    <w:rsid w:val="4A2951D2"/>
    <w:rsid w:val="4A2F3EE7"/>
    <w:rsid w:val="4ADD3B36"/>
    <w:rsid w:val="4AF60EA8"/>
    <w:rsid w:val="4C442CDD"/>
    <w:rsid w:val="4FBC1A62"/>
    <w:rsid w:val="52053061"/>
    <w:rsid w:val="55DA5100"/>
    <w:rsid w:val="56737BFE"/>
    <w:rsid w:val="56DD72B6"/>
    <w:rsid w:val="57B3C027"/>
    <w:rsid w:val="57F52770"/>
    <w:rsid w:val="586562D5"/>
    <w:rsid w:val="59456951"/>
    <w:rsid w:val="5957F982"/>
    <w:rsid w:val="5A56039D"/>
    <w:rsid w:val="5BB7B6A8"/>
    <w:rsid w:val="5EDF2903"/>
    <w:rsid w:val="5EFEA0B5"/>
    <w:rsid w:val="5FB6468D"/>
    <w:rsid w:val="5FFF91E1"/>
    <w:rsid w:val="604A609D"/>
    <w:rsid w:val="60BB6B7C"/>
    <w:rsid w:val="60D603D4"/>
    <w:rsid w:val="60DF1AAA"/>
    <w:rsid w:val="61462656"/>
    <w:rsid w:val="63FF5D76"/>
    <w:rsid w:val="68D5229E"/>
    <w:rsid w:val="69DB8A97"/>
    <w:rsid w:val="6D8243CD"/>
    <w:rsid w:val="718C74F3"/>
    <w:rsid w:val="740D6187"/>
    <w:rsid w:val="76592D83"/>
    <w:rsid w:val="77BF5522"/>
    <w:rsid w:val="77BFBD0C"/>
    <w:rsid w:val="79291DE4"/>
    <w:rsid w:val="793F3B2A"/>
    <w:rsid w:val="7B7F4C15"/>
    <w:rsid w:val="7BB3215F"/>
    <w:rsid w:val="7BDF82DF"/>
    <w:rsid w:val="7BF145B3"/>
    <w:rsid w:val="7DAC3C15"/>
    <w:rsid w:val="7DBB6602"/>
    <w:rsid w:val="7DBEB841"/>
    <w:rsid w:val="7DEED17E"/>
    <w:rsid w:val="7E09B616"/>
    <w:rsid w:val="7ED54CDD"/>
    <w:rsid w:val="7EF71E30"/>
    <w:rsid w:val="7F0FAA39"/>
    <w:rsid w:val="7FBA06CC"/>
    <w:rsid w:val="7FBB42A5"/>
    <w:rsid w:val="7FBD0168"/>
    <w:rsid w:val="7FDDBA1F"/>
    <w:rsid w:val="7FF2F59F"/>
    <w:rsid w:val="7FFBBE3B"/>
    <w:rsid w:val="7FFEE30C"/>
    <w:rsid w:val="9B9AD829"/>
    <w:rsid w:val="9D77D014"/>
    <w:rsid w:val="A57F9A04"/>
    <w:rsid w:val="A6FE1A0F"/>
    <w:rsid w:val="B3F7317C"/>
    <w:rsid w:val="B9BBE52E"/>
    <w:rsid w:val="BDBF043B"/>
    <w:rsid w:val="BDDC2EA0"/>
    <w:rsid w:val="BF634D33"/>
    <w:rsid w:val="BF7B599E"/>
    <w:rsid w:val="BFDBABE8"/>
    <w:rsid w:val="BFE7D64A"/>
    <w:rsid w:val="CB57E1F6"/>
    <w:rsid w:val="CBF9A8EE"/>
    <w:rsid w:val="CFFF6F78"/>
    <w:rsid w:val="D627FAA5"/>
    <w:rsid w:val="D7B7479C"/>
    <w:rsid w:val="D9D6CF26"/>
    <w:rsid w:val="DBEDC3FD"/>
    <w:rsid w:val="DEFF5AB8"/>
    <w:rsid w:val="E77FB055"/>
    <w:rsid w:val="E7BF1666"/>
    <w:rsid w:val="ECEE868E"/>
    <w:rsid w:val="EE97B782"/>
    <w:rsid w:val="EFFF2C5E"/>
    <w:rsid w:val="F26FB06B"/>
    <w:rsid w:val="F3FF41B8"/>
    <w:rsid w:val="F6EF27D9"/>
    <w:rsid w:val="F7FF0EEF"/>
    <w:rsid w:val="F86D4885"/>
    <w:rsid w:val="FAB6E2E3"/>
    <w:rsid w:val="FB6F8FA0"/>
    <w:rsid w:val="FCFEF576"/>
    <w:rsid w:val="FEBBD34B"/>
    <w:rsid w:val="FEDD6192"/>
    <w:rsid w:val="FEDF237B"/>
    <w:rsid w:val="FF3DB646"/>
    <w:rsid w:val="FF7ECD24"/>
    <w:rsid w:val="FFCDB13C"/>
    <w:rsid w:val="FFE74A08"/>
    <w:rsid w:val="FFF3F125"/>
    <w:rsid w:val="FFFD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annotation text"/>
    <w:basedOn w:val="1"/>
    <w:link w:val="20"/>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left"/>
    </w:pPr>
    <w:rPr>
      <w:sz w:val="18"/>
      <w:szCs w:val="18"/>
    </w:rPr>
  </w:style>
  <w:style w:type="paragraph" w:styleId="8">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333333"/>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style>
  <w:style w:type="character" w:customStyle="1" w:styleId="21">
    <w:name w:val="批注框文本 字符"/>
    <w:basedOn w:val="14"/>
    <w:link w:val="5"/>
    <w:semiHidden/>
    <w:qFormat/>
    <w:uiPriority w:val="99"/>
    <w:rPr>
      <w:sz w:val="18"/>
      <w:szCs w:val="18"/>
    </w:rPr>
  </w:style>
  <w:style w:type="character" w:customStyle="1" w:styleId="22">
    <w:name w:val="标题 1 字符"/>
    <w:basedOn w:val="14"/>
    <w:link w:val="2"/>
    <w:qFormat/>
    <w:uiPriority w:val="9"/>
    <w:rPr>
      <w:b/>
      <w:bCs/>
      <w:kern w:val="44"/>
      <w:sz w:val="44"/>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4"/>
    <w:link w:val="7"/>
    <w:qFormat/>
    <w:uiPriority w:val="99"/>
    <w:rPr>
      <w:sz w:val="18"/>
      <w:szCs w:val="18"/>
    </w:rPr>
  </w:style>
  <w:style w:type="character" w:customStyle="1" w:styleId="25">
    <w:name w:val="页脚 字符"/>
    <w:basedOn w:val="14"/>
    <w:link w:val="6"/>
    <w:qFormat/>
    <w:uiPriority w:val="99"/>
    <w:rPr>
      <w:sz w:val="18"/>
      <w:szCs w:val="18"/>
    </w:rPr>
  </w:style>
  <w:style w:type="character" w:customStyle="1" w:styleId="26">
    <w:name w:val="批注主题 字符"/>
    <w:basedOn w:val="20"/>
    <w:link w:val="11"/>
    <w:semiHidden/>
    <w:qFormat/>
    <w:uiPriority w:val="99"/>
    <w:rPr>
      <w:b/>
      <w:bCs/>
    </w:rPr>
  </w:style>
  <w:style w:type="character" w:styleId="27">
    <w:name w:val="Placeholder Text"/>
    <w:basedOn w:val="14"/>
    <w:semiHidden/>
    <w:qFormat/>
    <w:uiPriority w:val="99"/>
    <w:rPr>
      <w:color w:val="808080"/>
    </w:rPr>
  </w:style>
  <w:style w:type="paragraph" w:customStyle="1" w:styleId="28">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11020</Words>
  <Characters>11391</Characters>
  <Lines>1</Lines>
  <Paragraphs>1</Paragraphs>
  <TotalTime>1008</TotalTime>
  <ScaleCrop>false</ScaleCrop>
  <LinksUpToDate>false</LinksUpToDate>
  <CharactersWithSpaces>11583</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2019-11-24T18:19:00Z</dcterms:created>
  <dc:creator>csindex_yuanchen</dc:creator>
  <cp:lastModifiedBy>fhuang</cp:lastModifiedBy>
  <cp:lastPrinted>2026-03-13T18:35:00Z</cp:lastPrinted>
  <dcterms:modified xsi:type="dcterms:W3CDTF">2026-03-13T16:05:43Z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D2E953705F264CA3A180159B3B655503</vt:lpwstr>
  </property>
</Properties>
</file>