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16A69">
      <w:pPr>
        <w:jc w:val="center"/>
        <w:rPr>
          <w:rFonts w:ascii="黑体" w:hAnsi="黑体" w:eastAsia="黑体"/>
          <w:sz w:val="36"/>
          <w:szCs w:val="36"/>
          <w:highlight w:val="none"/>
        </w:rPr>
      </w:pPr>
    </w:p>
    <w:p w14:paraId="6167C7F7">
      <w:pPr>
        <w:jc w:val="center"/>
        <w:rPr>
          <w:rFonts w:ascii="黑体" w:hAnsi="黑体" w:eastAsia="黑体"/>
          <w:sz w:val="36"/>
          <w:szCs w:val="36"/>
          <w:highlight w:val="none"/>
        </w:rPr>
      </w:pPr>
    </w:p>
    <w:p w14:paraId="56089AAD">
      <w:pPr>
        <w:jc w:val="center"/>
        <w:rPr>
          <w:rFonts w:hint="eastAsia" w:ascii="黑体" w:hAnsi="黑体" w:eastAsia="黑体"/>
          <w:b/>
          <w:sz w:val="36"/>
          <w:szCs w:val="36"/>
          <w:highlight w:val="none"/>
          <w:lang w:val="en-US" w:eastAsia="zh-CN"/>
        </w:rPr>
      </w:pPr>
      <w:r>
        <w:rPr>
          <w:rFonts w:hint="eastAsia" w:ascii="黑体" w:hAnsi="黑体" w:eastAsia="黑体"/>
          <w:b/>
          <w:sz w:val="36"/>
          <w:szCs w:val="36"/>
          <w:highlight w:val="none"/>
          <w:lang w:val="en-US" w:eastAsia="zh-CN"/>
        </w:rPr>
        <w:t>中证中小投资者服务中心有限责任公司</w:t>
      </w:r>
    </w:p>
    <w:p w14:paraId="73F11FA8">
      <w:pPr>
        <w:jc w:val="center"/>
        <w:rPr>
          <w:rFonts w:ascii="黑体" w:hAnsi="黑体" w:eastAsia="黑体"/>
          <w:b/>
          <w:sz w:val="36"/>
          <w:szCs w:val="36"/>
          <w:highlight w:val="none"/>
        </w:rPr>
      </w:pPr>
      <w:r>
        <w:rPr>
          <w:rFonts w:hint="eastAsia" w:ascii="黑体" w:hAnsi="黑体" w:eastAsia="黑体"/>
          <w:b/>
          <w:sz w:val="36"/>
          <w:szCs w:val="36"/>
          <w:highlight w:val="none"/>
          <w:lang w:val="en-US" w:eastAsia="zh-CN"/>
        </w:rPr>
        <w:t>职工子女暑期托管服务项目</w:t>
      </w:r>
      <w:r>
        <w:rPr>
          <w:rFonts w:hint="eastAsia" w:ascii="黑体" w:hAnsi="黑体" w:eastAsia="黑体"/>
          <w:b/>
          <w:sz w:val="36"/>
          <w:szCs w:val="36"/>
          <w:highlight w:val="none"/>
        </w:rPr>
        <w:t>采购竞争性磋商文件</w:t>
      </w:r>
    </w:p>
    <w:p w14:paraId="27CED778">
      <w:pPr>
        <w:rPr>
          <w:rFonts w:ascii="黑体" w:hAnsi="黑体" w:eastAsia="黑体"/>
          <w:sz w:val="36"/>
          <w:szCs w:val="36"/>
          <w:highlight w:val="none"/>
        </w:rPr>
      </w:pPr>
    </w:p>
    <w:p w14:paraId="64AA728C">
      <w:pPr>
        <w:jc w:val="center"/>
        <w:rPr>
          <w:rFonts w:hint="eastAsia" w:ascii="黑体" w:hAnsi="黑体" w:eastAsia="黑体"/>
          <w:sz w:val="36"/>
          <w:szCs w:val="36"/>
          <w:highlight w:val="none"/>
          <w:lang w:val="en-US" w:eastAsia="zh-CN"/>
        </w:rPr>
      </w:pPr>
    </w:p>
    <w:p w14:paraId="2081ED5C">
      <w:pPr>
        <w:jc w:val="center"/>
        <w:rPr>
          <w:rFonts w:hint="eastAsia" w:ascii="黑体" w:hAnsi="黑体" w:eastAsia="黑体"/>
          <w:sz w:val="36"/>
          <w:szCs w:val="36"/>
          <w:highlight w:val="none"/>
          <w:lang w:val="en-US" w:eastAsia="zh-CN"/>
        </w:rPr>
      </w:pPr>
    </w:p>
    <w:p w14:paraId="60646533">
      <w:pPr>
        <w:jc w:val="both"/>
        <w:rPr>
          <w:rFonts w:hint="eastAsia" w:ascii="黑体" w:hAnsi="黑体" w:eastAsia="黑体"/>
          <w:sz w:val="36"/>
          <w:szCs w:val="36"/>
          <w:highlight w:val="none"/>
          <w:lang w:val="en-US" w:eastAsia="zh-CN"/>
        </w:rPr>
      </w:pPr>
    </w:p>
    <w:p w14:paraId="03276849">
      <w:pPr>
        <w:jc w:val="center"/>
        <w:rPr>
          <w:rFonts w:ascii="黑体" w:hAnsi="黑体" w:eastAsia="黑体"/>
          <w:sz w:val="36"/>
          <w:szCs w:val="36"/>
          <w:highlight w:val="none"/>
        </w:rPr>
      </w:pPr>
    </w:p>
    <w:p w14:paraId="102CE962">
      <w:pPr>
        <w:jc w:val="center"/>
        <w:rPr>
          <w:rFonts w:ascii="黑体" w:hAnsi="黑体" w:eastAsia="黑体"/>
          <w:sz w:val="36"/>
          <w:szCs w:val="36"/>
          <w:highlight w:val="none"/>
        </w:rPr>
      </w:pPr>
    </w:p>
    <w:p w14:paraId="7F564779">
      <w:pPr>
        <w:jc w:val="center"/>
        <w:rPr>
          <w:rFonts w:ascii="黑体" w:hAnsi="黑体" w:eastAsia="黑体"/>
          <w:sz w:val="28"/>
          <w:szCs w:val="28"/>
          <w:highlight w:val="none"/>
        </w:rPr>
      </w:pPr>
    </w:p>
    <w:p w14:paraId="37648DF0">
      <w:pPr>
        <w:jc w:val="center"/>
        <w:rPr>
          <w:rFonts w:ascii="仿宋_GB2312" w:hAnsi="黑体" w:eastAsia="仿宋_GB2312"/>
          <w:b/>
          <w:sz w:val="28"/>
          <w:szCs w:val="28"/>
          <w:highlight w:val="none"/>
        </w:rPr>
      </w:pPr>
      <w:r>
        <w:rPr>
          <w:rFonts w:hint="eastAsia" w:ascii="仿宋_GB2312" w:hAnsi="黑体" w:eastAsia="仿宋_GB2312"/>
          <w:b/>
          <w:sz w:val="28"/>
          <w:szCs w:val="28"/>
          <w:highlight w:val="none"/>
        </w:rPr>
        <w:t>采购项目名称：</w:t>
      </w:r>
      <w:r>
        <w:rPr>
          <w:rFonts w:hint="eastAsia" w:ascii="仿宋_GB2312" w:hAnsi="黑体" w:eastAsia="仿宋_GB2312"/>
          <w:b/>
          <w:sz w:val="28"/>
          <w:szCs w:val="28"/>
          <w:highlight w:val="none"/>
          <w:lang w:eastAsia="zh-CN"/>
        </w:rPr>
        <w:t>职工子女暑期托管服务</w:t>
      </w:r>
      <w:r>
        <w:rPr>
          <w:rFonts w:hint="eastAsia" w:ascii="仿宋_GB2312" w:hAnsi="黑体" w:eastAsia="仿宋_GB2312"/>
          <w:b/>
          <w:sz w:val="28"/>
          <w:szCs w:val="28"/>
          <w:highlight w:val="none"/>
        </w:rPr>
        <w:t>项目</w:t>
      </w:r>
    </w:p>
    <w:p w14:paraId="59707EDF">
      <w:pPr>
        <w:ind w:left="1124" w:hanging="1124" w:hangingChars="400"/>
        <w:jc w:val="center"/>
        <w:rPr>
          <w:rFonts w:hint="eastAsia" w:ascii="仿宋_GB2312" w:hAnsi="黑体" w:eastAsia="仿宋_GB2312"/>
          <w:b/>
          <w:sz w:val="28"/>
          <w:szCs w:val="28"/>
          <w:highlight w:val="none"/>
          <w:lang w:eastAsia="zh-CN"/>
        </w:rPr>
      </w:pPr>
      <w:r>
        <w:rPr>
          <w:rFonts w:hint="eastAsia" w:ascii="仿宋_GB2312" w:hAnsi="黑体" w:eastAsia="仿宋_GB2312"/>
          <w:b/>
          <w:sz w:val="28"/>
          <w:szCs w:val="28"/>
          <w:highlight w:val="none"/>
        </w:rPr>
        <w:t>采购人：</w:t>
      </w:r>
      <w:r>
        <w:rPr>
          <w:rFonts w:hint="eastAsia" w:ascii="仿宋_GB2312" w:hAnsi="黑体" w:eastAsia="仿宋_GB2312"/>
          <w:b/>
          <w:sz w:val="28"/>
          <w:szCs w:val="28"/>
          <w:highlight w:val="none"/>
          <w:lang w:eastAsia="zh-CN"/>
        </w:rPr>
        <w:t>中证中小投资者服务中心有限责任公司</w:t>
      </w:r>
    </w:p>
    <w:p w14:paraId="1D8875EB">
      <w:pPr>
        <w:ind w:left="1124" w:hanging="1124" w:hangingChars="400"/>
        <w:jc w:val="center"/>
        <w:rPr>
          <w:rFonts w:hint="eastAsia" w:ascii="仿宋_GB2312" w:hAnsi="黑体" w:eastAsia="仿宋_GB2312"/>
          <w:b/>
          <w:sz w:val="28"/>
          <w:szCs w:val="28"/>
          <w:highlight w:val="none"/>
          <w:lang w:eastAsia="zh-CN"/>
        </w:rPr>
      </w:pPr>
      <w:r>
        <w:rPr>
          <w:rFonts w:hint="eastAsia" w:ascii="仿宋_GB2312" w:hAnsi="黑体" w:eastAsia="仿宋_GB2312"/>
          <w:b/>
          <w:sz w:val="28"/>
          <w:szCs w:val="28"/>
          <w:highlight w:val="none"/>
          <w:lang w:eastAsia="zh-CN"/>
        </w:rPr>
        <w:t>中证中小投资者服务中心工会委员会</w:t>
      </w:r>
    </w:p>
    <w:p w14:paraId="32D7B2A1">
      <w:pPr>
        <w:ind w:left="1119" w:leftChars="533" w:firstLine="0" w:firstLineChars="0"/>
        <w:jc w:val="left"/>
        <w:rPr>
          <w:rFonts w:hint="default" w:ascii="仿宋_GB2312" w:hAnsi="黑体" w:eastAsia="仿宋_GB2312"/>
          <w:b/>
          <w:sz w:val="28"/>
          <w:szCs w:val="28"/>
          <w:highlight w:val="none"/>
          <w:lang w:val="en-US" w:eastAsia="zh-CN"/>
        </w:rPr>
      </w:pPr>
    </w:p>
    <w:p w14:paraId="3D74BEDD">
      <w:pPr>
        <w:jc w:val="left"/>
        <w:rPr>
          <w:rFonts w:ascii="仿宋_GB2312" w:hAnsi="黑体" w:eastAsia="仿宋_GB2312"/>
          <w:sz w:val="28"/>
          <w:szCs w:val="28"/>
          <w:highlight w:val="none"/>
        </w:rPr>
      </w:pPr>
    </w:p>
    <w:p w14:paraId="1DCE0C7D">
      <w:pPr>
        <w:jc w:val="left"/>
        <w:rPr>
          <w:rFonts w:ascii="仿宋_GB2312" w:hAnsi="黑体" w:eastAsia="仿宋_GB2312"/>
          <w:sz w:val="28"/>
          <w:szCs w:val="28"/>
          <w:highlight w:val="none"/>
        </w:rPr>
      </w:pPr>
    </w:p>
    <w:p w14:paraId="2C8BFD4C">
      <w:pPr>
        <w:jc w:val="left"/>
        <w:rPr>
          <w:rFonts w:ascii="仿宋_GB2312" w:hAnsi="黑体" w:eastAsia="仿宋_GB2312"/>
          <w:sz w:val="28"/>
          <w:szCs w:val="28"/>
          <w:highlight w:val="none"/>
        </w:rPr>
      </w:pPr>
    </w:p>
    <w:p w14:paraId="34B7A70F">
      <w:pPr>
        <w:jc w:val="left"/>
        <w:rPr>
          <w:rFonts w:ascii="仿宋_GB2312" w:hAnsi="黑体" w:eastAsia="仿宋_GB2312"/>
          <w:sz w:val="28"/>
          <w:szCs w:val="28"/>
          <w:highlight w:val="none"/>
        </w:rPr>
      </w:pPr>
    </w:p>
    <w:p w14:paraId="4891863E">
      <w:pPr>
        <w:jc w:val="center"/>
        <w:rPr>
          <w:rFonts w:hint="eastAsia" w:ascii="仿宋_GB2312" w:hAnsi="黑体" w:eastAsia="仿宋_GB2312"/>
          <w:b/>
          <w:color w:val="auto"/>
          <w:sz w:val="28"/>
          <w:szCs w:val="28"/>
          <w:highlight w:val="none"/>
          <w:lang w:eastAsia="zh-CN"/>
        </w:rPr>
      </w:pPr>
      <w:bookmarkStart w:id="0" w:name="OLE_LINK3"/>
      <w:r>
        <w:rPr>
          <w:rFonts w:hint="eastAsia" w:ascii="仿宋_GB2312" w:hAnsi="黑体" w:eastAsia="仿宋_GB2312"/>
          <w:b/>
          <w:color w:val="auto"/>
          <w:sz w:val="28"/>
          <w:szCs w:val="28"/>
          <w:highlight w:val="none"/>
          <w:lang w:eastAsia="zh-CN"/>
        </w:rPr>
        <w:t>中证中小投资者服务中心有限责任公司</w:t>
      </w:r>
    </w:p>
    <w:p w14:paraId="48039D2C">
      <w:pPr>
        <w:jc w:val="center"/>
        <w:rPr>
          <w:rFonts w:hint="default" w:ascii="仿宋_GB2312" w:hAnsi="黑体" w:eastAsia="仿宋_GB2312"/>
          <w:b/>
          <w:sz w:val="28"/>
          <w:szCs w:val="28"/>
          <w:highlight w:val="none"/>
          <w:lang w:val="en-US" w:eastAsia="zh-CN"/>
        </w:rPr>
      </w:pPr>
    </w:p>
    <w:bookmarkEnd w:id="0"/>
    <w:p w14:paraId="62DACDF4">
      <w:pPr>
        <w:jc w:val="center"/>
        <w:rPr>
          <w:rFonts w:ascii="仿宋_GB2312" w:hAnsi="黑体" w:eastAsia="仿宋_GB2312"/>
          <w:sz w:val="28"/>
          <w:szCs w:val="28"/>
          <w:highlight w:val="none"/>
        </w:rPr>
      </w:pPr>
      <w:r>
        <w:rPr>
          <w:rFonts w:hint="eastAsia" w:ascii="仿宋_GB2312" w:hAnsi="黑体" w:eastAsia="仿宋_GB2312"/>
          <w:b/>
          <w:sz w:val="28"/>
          <w:szCs w:val="28"/>
          <w:highlight w:val="none"/>
          <w:lang w:val="en-US" w:eastAsia="zh-CN"/>
        </w:rPr>
        <w:t>2026</w:t>
      </w:r>
      <w:r>
        <w:rPr>
          <w:rFonts w:hint="eastAsia" w:ascii="仿宋_GB2312" w:hAnsi="黑体" w:eastAsia="仿宋_GB2312"/>
          <w:b/>
          <w:sz w:val="28"/>
          <w:szCs w:val="28"/>
          <w:highlight w:val="none"/>
        </w:rPr>
        <w:t>年</w:t>
      </w:r>
      <w:r>
        <w:rPr>
          <w:rFonts w:hint="eastAsia" w:ascii="仿宋_GB2312" w:hAnsi="黑体" w:eastAsia="仿宋_GB2312"/>
          <w:b/>
          <w:sz w:val="28"/>
          <w:szCs w:val="28"/>
          <w:highlight w:val="none"/>
          <w:lang w:val="en-US" w:eastAsia="zh-CN"/>
        </w:rPr>
        <w:t>6</w:t>
      </w:r>
      <w:r>
        <w:rPr>
          <w:rFonts w:hint="eastAsia" w:ascii="仿宋_GB2312" w:hAnsi="黑体" w:eastAsia="仿宋_GB2312"/>
          <w:b/>
          <w:sz w:val="28"/>
          <w:szCs w:val="28"/>
          <w:highlight w:val="none"/>
        </w:rPr>
        <w:t>月</w:t>
      </w:r>
      <w:r>
        <w:rPr>
          <w:rFonts w:ascii="仿宋_GB2312" w:hAnsi="黑体" w:eastAsia="仿宋_GB2312"/>
          <w:sz w:val="28"/>
          <w:szCs w:val="28"/>
          <w:highlight w:val="none"/>
        </w:rPr>
        <w:br w:type="page"/>
      </w:r>
    </w:p>
    <w:p w14:paraId="60070E61">
      <w:pPr>
        <w:pStyle w:val="8"/>
        <w:rPr>
          <w:highlight w:val="none"/>
        </w:rPr>
        <w:sectPr>
          <w:footerReference r:id="rId5" w:type="first"/>
          <w:headerReference r:id="rId3" w:type="default"/>
          <w:footerReference r:id="rId4" w:type="default"/>
          <w:pgSz w:w="11906" w:h="16838"/>
          <w:pgMar w:top="1440" w:right="1800" w:bottom="1440" w:left="1800" w:header="851" w:footer="992" w:gutter="0"/>
          <w:cols w:space="425" w:num="1"/>
          <w:docGrid w:type="lines" w:linePitch="312" w:charSpace="0"/>
        </w:sectPr>
      </w:pPr>
    </w:p>
    <w:p w14:paraId="19EC3FC4">
      <w:pPr>
        <w:pStyle w:val="8"/>
        <w:spacing w:line="24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目录</w:t>
      </w:r>
    </w:p>
    <w:p w14:paraId="3DFA8DF7">
      <w:pPr>
        <w:pStyle w:val="8"/>
        <w:tabs>
          <w:tab w:val="right" w:leader="dot" w:pos="8306"/>
          <w:tab w:val="clear" w:pos="1050"/>
          <w:tab w:val="clear" w:pos="829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TOC \o "1-3" \h \z \u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_Toc524600702 </w:instrText>
      </w:r>
      <w:r>
        <w:rPr>
          <w:rFonts w:hint="eastAsia" w:asciiTheme="minorEastAsia" w:hAnsiTheme="minorEastAsia" w:eastAsiaTheme="minorEastAsia" w:cstheme="minorEastAsia"/>
          <w:sz w:val="24"/>
          <w:szCs w:val="24"/>
          <w:highlight w:val="none"/>
        </w:rPr>
        <w:fldChar w:fldCharType="separate"/>
      </w:r>
      <w:r>
        <w:rPr>
          <w:rFonts w:hint="default" w:ascii="仿宋_GB2312" w:hAnsi="黑体" w:eastAsia="仿宋_GB2312"/>
          <w:sz w:val="24"/>
          <w:szCs w:val="24"/>
        </w:rPr>
        <w:t xml:space="preserve">第一章 </w:t>
      </w:r>
      <w:r>
        <w:rPr>
          <w:rFonts w:hint="eastAsia" w:ascii="仿宋_GB2312" w:hAnsi="黑体" w:eastAsia="仿宋_GB2312"/>
          <w:sz w:val="24"/>
          <w:szCs w:val="24"/>
          <w:highlight w:val="none"/>
        </w:rPr>
        <w:t>采购邀请</w:t>
      </w:r>
      <w:r>
        <w:rPr>
          <w:sz w:val="24"/>
          <w:szCs w:val="24"/>
        </w:rPr>
        <w:tab/>
      </w:r>
      <w:r>
        <w:rPr>
          <w:sz w:val="24"/>
          <w:szCs w:val="24"/>
        </w:rPr>
        <w:fldChar w:fldCharType="begin"/>
      </w:r>
      <w:r>
        <w:rPr>
          <w:sz w:val="24"/>
          <w:szCs w:val="24"/>
        </w:rPr>
        <w:instrText xml:space="preserve"> PAGEREF _Toc524600702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5CC37115">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_Toc580943841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一、 </w:t>
      </w:r>
      <w:r>
        <w:rPr>
          <w:rFonts w:hint="eastAsia" w:ascii="仿宋_GB2312" w:hAnsi="黑体" w:eastAsia="仿宋_GB2312"/>
          <w:bCs/>
          <w:sz w:val="24"/>
          <w:szCs w:val="24"/>
          <w:highlight w:val="none"/>
        </w:rPr>
        <w:t>采购方式</w:t>
      </w:r>
      <w:r>
        <w:rPr>
          <w:sz w:val="24"/>
          <w:szCs w:val="24"/>
        </w:rPr>
        <w:tab/>
      </w:r>
      <w:r>
        <w:rPr>
          <w:sz w:val="24"/>
          <w:szCs w:val="24"/>
        </w:rPr>
        <w:fldChar w:fldCharType="begin"/>
      </w:r>
      <w:r>
        <w:rPr>
          <w:sz w:val="24"/>
          <w:szCs w:val="24"/>
        </w:rPr>
        <w:instrText xml:space="preserve"> PAGEREF _Toc580943841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2DA6AEA3">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_Toc2126902417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二、 </w:t>
      </w:r>
      <w:r>
        <w:rPr>
          <w:rFonts w:hint="eastAsia" w:ascii="仿宋_GB2312" w:hAnsi="黑体" w:eastAsia="仿宋_GB2312"/>
          <w:bCs/>
          <w:sz w:val="24"/>
          <w:szCs w:val="24"/>
          <w:highlight w:val="none"/>
        </w:rPr>
        <w:t>采购项目概况</w:t>
      </w:r>
      <w:r>
        <w:rPr>
          <w:sz w:val="24"/>
          <w:szCs w:val="24"/>
        </w:rPr>
        <w:tab/>
      </w:r>
      <w:r>
        <w:rPr>
          <w:sz w:val="24"/>
          <w:szCs w:val="24"/>
        </w:rPr>
        <w:fldChar w:fldCharType="begin"/>
      </w:r>
      <w:r>
        <w:rPr>
          <w:sz w:val="24"/>
          <w:szCs w:val="24"/>
        </w:rPr>
        <w:instrText xml:space="preserve"> PAGEREF _Toc2126902417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1AB8D2DC">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_Toc560066400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三、 </w:t>
      </w:r>
      <w:r>
        <w:rPr>
          <w:rFonts w:hint="eastAsia" w:ascii="仿宋_GB2312" w:hAnsi="黑体" w:eastAsia="仿宋_GB2312"/>
          <w:bCs/>
          <w:sz w:val="24"/>
          <w:szCs w:val="24"/>
          <w:highlight w:val="none"/>
        </w:rPr>
        <w:t>提交响应文件及竞争性磋商的时间和地点</w:t>
      </w:r>
      <w:r>
        <w:rPr>
          <w:sz w:val="24"/>
          <w:szCs w:val="24"/>
        </w:rPr>
        <w:tab/>
      </w:r>
      <w:r>
        <w:rPr>
          <w:sz w:val="24"/>
          <w:szCs w:val="24"/>
        </w:rPr>
        <w:fldChar w:fldCharType="begin"/>
      </w:r>
      <w:r>
        <w:rPr>
          <w:sz w:val="24"/>
          <w:szCs w:val="24"/>
        </w:rPr>
        <w:instrText xml:space="preserve"> PAGEREF _Toc560066400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27509B5E">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_Toc1776962733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四、 </w:t>
      </w:r>
      <w:r>
        <w:rPr>
          <w:rFonts w:hint="eastAsia" w:ascii="仿宋_GB2312" w:hAnsi="黑体" w:eastAsia="仿宋_GB2312"/>
          <w:bCs/>
          <w:sz w:val="24"/>
          <w:szCs w:val="24"/>
          <w:highlight w:val="none"/>
        </w:rPr>
        <w:t>其他相关说明</w:t>
      </w:r>
      <w:r>
        <w:rPr>
          <w:sz w:val="24"/>
          <w:szCs w:val="24"/>
        </w:rPr>
        <w:tab/>
      </w:r>
      <w:r>
        <w:rPr>
          <w:sz w:val="24"/>
          <w:szCs w:val="24"/>
        </w:rPr>
        <w:fldChar w:fldCharType="begin"/>
      </w:r>
      <w:r>
        <w:rPr>
          <w:sz w:val="24"/>
          <w:szCs w:val="24"/>
        </w:rPr>
        <w:instrText xml:space="preserve"> PAGEREF _Toc1776962733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7249EC6F">
      <w:pPr>
        <w:pStyle w:val="8"/>
        <w:tabs>
          <w:tab w:val="right" w:leader="dot" w:pos="8306"/>
          <w:tab w:val="clear" w:pos="1050"/>
          <w:tab w:val="clear" w:pos="829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_Toc1854044227 </w:instrText>
      </w:r>
      <w:r>
        <w:rPr>
          <w:rFonts w:hint="eastAsia" w:asciiTheme="minorEastAsia" w:hAnsiTheme="minorEastAsia" w:eastAsiaTheme="minorEastAsia" w:cstheme="minorEastAsia"/>
          <w:sz w:val="24"/>
          <w:szCs w:val="24"/>
          <w:highlight w:val="none"/>
        </w:rPr>
        <w:fldChar w:fldCharType="separate"/>
      </w:r>
      <w:r>
        <w:rPr>
          <w:rFonts w:hint="default" w:ascii="仿宋_GB2312" w:hAnsi="黑体" w:eastAsia="仿宋_GB2312"/>
          <w:sz w:val="24"/>
          <w:szCs w:val="24"/>
        </w:rPr>
        <w:t xml:space="preserve">第二章 </w:t>
      </w:r>
      <w:r>
        <w:rPr>
          <w:rFonts w:hint="eastAsia" w:ascii="仿宋_GB2312" w:hAnsi="黑体" w:eastAsia="仿宋_GB2312"/>
          <w:sz w:val="24"/>
          <w:szCs w:val="24"/>
          <w:highlight w:val="none"/>
        </w:rPr>
        <w:t>采购内容及要求</w:t>
      </w:r>
      <w:r>
        <w:rPr>
          <w:sz w:val="24"/>
          <w:szCs w:val="24"/>
        </w:rPr>
        <w:tab/>
      </w:r>
      <w:r>
        <w:rPr>
          <w:sz w:val="24"/>
          <w:szCs w:val="24"/>
        </w:rPr>
        <w:fldChar w:fldCharType="begin"/>
      </w:r>
      <w:r>
        <w:rPr>
          <w:sz w:val="24"/>
          <w:szCs w:val="24"/>
        </w:rPr>
        <w:instrText xml:space="preserve"> PAGEREF _Toc1854044227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1E525274">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_Toc1009362788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sz w:val="24"/>
          <w:szCs w:val="24"/>
          <w:lang w:val="en-US" w:eastAsia="zh-CN"/>
        </w:rPr>
        <w:t>一、托管对象</w:t>
      </w:r>
      <w:r>
        <w:rPr>
          <w:sz w:val="24"/>
          <w:szCs w:val="24"/>
        </w:rPr>
        <w:tab/>
      </w:r>
      <w:r>
        <w:rPr>
          <w:sz w:val="24"/>
          <w:szCs w:val="24"/>
        </w:rPr>
        <w:fldChar w:fldCharType="begin"/>
      </w:r>
      <w:r>
        <w:rPr>
          <w:sz w:val="24"/>
          <w:szCs w:val="24"/>
        </w:rPr>
        <w:instrText xml:space="preserve"> PAGEREF _Toc1009362788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1D0251A0">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_Toc810552344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sz w:val="24"/>
          <w:szCs w:val="24"/>
          <w:lang w:val="en-US" w:eastAsia="zh-CN"/>
        </w:rPr>
        <w:t>二、托管时长</w:t>
      </w:r>
      <w:r>
        <w:rPr>
          <w:sz w:val="24"/>
          <w:szCs w:val="24"/>
        </w:rPr>
        <w:tab/>
      </w:r>
      <w:r>
        <w:rPr>
          <w:sz w:val="24"/>
          <w:szCs w:val="24"/>
        </w:rPr>
        <w:fldChar w:fldCharType="begin"/>
      </w:r>
      <w:r>
        <w:rPr>
          <w:sz w:val="24"/>
          <w:szCs w:val="24"/>
        </w:rPr>
        <w:instrText xml:space="preserve"> PAGEREF _Toc810552344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73D2DEDE">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_Toc1006681312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sz w:val="24"/>
          <w:szCs w:val="24"/>
          <w:lang w:val="en-US" w:eastAsia="zh-CN"/>
        </w:rPr>
        <w:t>三、班级人数与师资</w:t>
      </w:r>
      <w:r>
        <w:rPr>
          <w:sz w:val="24"/>
          <w:szCs w:val="24"/>
        </w:rPr>
        <w:tab/>
      </w:r>
      <w:r>
        <w:rPr>
          <w:sz w:val="24"/>
          <w:szCs w:val="24"/>
        </w:rPr>
        <w:fldChar w:fldCharType="begin"/>
      </w:r>
      <w:r>
        <w:rPr>
          <w:sz w:val="24"/>
          <w:szCs w:val="24"/>
        </w:rPr>
        <w:instrText xml:space="preserve"> PAGEREF _Toc1006681312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5FBB7B3C">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_Toc1930321601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sz w:val="24"/>
          <w:szCs w:val="24"/>
          <w:lang w:val="en-US" w:eastAsia="zh-CN"/>
        </w:rPr>
        <w:t>四、课程安排</w:t>
      </w:r>
      <w:r>
        <w:rPr>
          <w:sz w:val="24"/>
          <w:szCs w:val="24"/>
        </w:rPr>
        <w:tab/>
      </w:r>
      <w:r>
        <w:rPr>
          <w:sz w:val="24"/>
          <w:szCs w:val="24"/>
        </w:rPr>
        <w:fldChar w:fldCharType="begin"/>
      </w:r>
      <w:r>
        <w:rPr>
          <w:sz w:val="24"/>
          <w:szCs w:val="24"/>
        </w:rPr>
        <w:instrText xml:space="preserve"> PAGEREF _Toc1930321601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65801D58">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_Toc987580932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sz w:val="24"/>
          <w:szCs w:val="24"/>
          <w:lang w:val="en-US" w:eastAsia="zh-CN"/>
        </w:rPr>
        <w:t>五、班车接送</w:t>
      </w:r>
      <w:r>
        <w:rPr>
          <w:sz w:val="24"/>
          <w:szCs w:val="24"/>
        </w:rPr>
        <w:tab/>
      </w:r>
      <w:r>
        <w:rPr>
          <w:sz w:val="24"/>
          <w:szCs w:val="24"/>
        </w:rPr>
        <w:fldChar w:fldCharType="begin"/>
      </w:r>
      <w:r>
        <w:rPr>
          <w:sz w:val="24"/>
          <w:szCs w:val="24"/>
        </w:rPr>
        <w:instrText xml:space="preserve"> PAGEREF _Toc987580932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4E56E6C0">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_Toc926318563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sz w:val="24"/>
          <w:szCs w:val="24"/>
          <w:lang w:val="en-US" w:eastAsia="zh-CN"/>
        </w:rPr>
        <w:t>六、用餐安排</w:t>
      </w:r>
      <w:r>
        <w:rPr>
          <w:sz w:val="24"/>
          <w:szCs w:val="24"/>
        </w:rPr>
        <w:tab/>
      </w:r>
      <w:r>
        <w:rPr>
          <w:sz w:val="24"/>
          <w:szCs w:val="24"/>
        </w:rPr>
        <w:fldChar w:fldCharType="begin"/>
      </w:r>
      <w:r>
        <w:rPr>
          <w:sz w:val="24"/>
          <w:szCs w:val="24"/>
        </w:rPr>
        <w:instrText xml:space="preserve"> PAGEREF _Toc926318563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6D4C46BF">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_Toc256211175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val="0"/>
          <w:sz w:val="24"/>
          <w:szCs w:val="24"/>
          <w:highlight w:val="none"/>
          <w:lang w:val="en-US" w:eastAsia="zh-CN"/>
        </w:rPr>
        <w:t>七、报价、结算与支付要求</w:t>
      </w:r>
      <w:r>
        <w:rPr>
          <w:sz w:val="24"/>
          <w:szCs w:val="24"/>
        </w:rPr>
        <w:tab/>
      </w:r>
      <w:r>
        <w:rPr>
          <w:sz w:val="24"/>
          <w:szCs w:val="24"/>
        </w:rPr>
        <w:fldChar w:fldCharType="begin"/>
      </w:r>
      <w:r>
        <w:rPr>
          <w:sz w:val="24"/>
          <w:szCs w:val="24"/>
        </w:rPr>
        <w:instrText xml:space="preserve"> PAGEREF _Toc256211175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5D4A98DC">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_Toc1067383907 </w:instrText>
      </w:r>
      <w:r>
        <w:rPr>
          <w:rFonts w:hint="eastAsia" w:asciiTheme="minorEastAsia" w:hAnsiTheme="minorEastAsia" w:eastAsiaTheme="minorEastAsia" w:cstheme="minorEastAsia"/>
          <w:sz w:val="24"/>
          <w:szCs w:val="24"/>
          <w:highlight w:val="none"/>
        </w:rPr>
        <w:fldChar w:fldCharType="separate"/>
      </w:r>
      <w:r>
        <w:rPr>
          <w:rFonts w:hint="eastAsia" w:ascii="仿宋" w:hAnsi="仿宋" w:eastAsia="仿宋" w:cs="仿宋"/>
          <w:bCs w:val="0"/>
          <w:sz w:val="24"/>
          <w:szCs w:val="24"/>
          <w:highlight w:val="none"/>
          <w:lang w:val="en-US" w:eastAsia="zh-CN"/>
        </w:rPr>
        <w:t>八、其他要求</w:t>
      </w:r>
      <w:r>
        <w:rPr>
          <w:sz w:val="24"/>
          <w:szCs w:val="24"/>
        </w:rPr>
        <w:tab/>
      </w:r>
      <w:r>
        <w:rPr>
          <w:sz w:val="24"/>
          <w:szCs w:val="24"/>
        </w:rPr>
        <w:fldChar w:fldCharType="begin"/>
      </w:r>
      <w:r>
        <w:rPr>
          <w:sz w:val="24"/>
          <w:szCs w:val="24"/>
        </w:rPr>
        <w:instrText xml:space="preserve"> PAGEREF _Toc1067383907 \h </w:instrText>
      </w:r>
      <w:r>
        <w:rPr>
          <w:sz w:val="24"/>
          <w:szCs w:val="24"/>
        </w:rPr>
        <w:fldChar w:fldCharType="separate"/>
      </w:r>
      <w:r>
        <w:rPr>
          <w:sz w:val="24"/>
          <w:szCs w:val="24"/>
        </w:rPr>
        <w:t>3</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419DEF45">
      <w:pPr>
        <w:pStyle w:val="8"/>
        <w:tabs>
          <w:tab w:val="right" w:leader="dot" w:pos="8306"/>
          <w:tab w:val="clear" w:pos="1050"/>
          <w:tab w:val="clear" w:pos="829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_Toc1879980519 </w:instrText>
      </w:r>
      <w:r>
        <w:rPr>
          <w:rFonts w:hint="eastAsia" w:asciiTheme="minorEastAsia" w:hAnsiTheme="minorEastAsia" w:eastAsiaTheme="minorEastAsia" w:cstheme="minorEastAsia"/>
          <w:sz w:val="24"/>
          <w:szCs w:val="24"/>
          <w:highlight w:val="none"/>
        </w:rPr>
        <w:fldChar w:fldCharType="separate"/>
      </w:r>
      <w:r>
        <w:rPr>
          <w:rFonts w:hint="default" w:ascii="仿宋_GB2312" w:hAnsi="黑体" w:eastAsia="仿宋_GB2312"/>
          <w:sz w:val="24"/>
          <w:szCs w:val="24"/>
        </w:rPr>
        <w:t xml:space="preserve">第三章 </w:t>
      </w:r>
      <w:r>
        <w:rPr>
          <w:rFonts w:hint="eastAsia" w:ascii="仿宋_GB2312" w:hAnsi="黑体" w:eastAsia="仿宋_GB2312"/>
          <w:sz w:val="24"/>
          <w:szCs w:val="24"/>
          <w:highlight w:val="none"/>
        </w:rPr>
        <w:t>供应商须知</w:t>
      </w:r>
      <w:r>
        <w:rPr>
          <w:sz w:val="24"/>
          <w:szCs w:val="24"/>
        </w:rPr>
        <w:tab/>
      </w:r>
      <w:r>
        <w:rPr>
          <w:sz w:val="24"/>
          <w:szCs w:val="24"/>
        </w:rPr>
        <w:fldChar w:fldCharType="begin"/>
      </w:r>
      <w:r>
        <w:rPr>
          <w:sz w:val="24"/>
          <w:szCs w:val="24"/>
        </w:rPr>
        <w:instrText xml:space="preserve"> PAGEREF _Toc1879980519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0C3C0C83">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_Toc243942474 </w:instrText>
      </w:r>
      <w:r>
        <w:rPr>
          <w:rFonts w:hint="eastAsia" w:asciiTheme="minorEastAsia" w:hAnsiTheme="minorEastAsia" w:eastAsiaTheme="minorEastAsia" w:cstheme="minorEastAsia"/>
          <w:sz w:val="24"/>
          <w:szCs w:val="24"/>
          <w:highlight w:val="none"/>
        </w:rPr>
        <w:fldChar w:fldCharType="separate"/>
      </w:r>
      <w:r>
        <w:rPr>
          <w:rFonts w:hint="eastAsia" w:ascii="仿宋_GB2312" w:hAnsi="黑体" w:eastAsia="仿宋_GB2312"/>
          <w:bCs/>
          <w:sz w:val="24"/>
          <w:szCs w:val="24"/>
        </w:rPr>
        <w:t xml:space="preserve">一、 </w:t>
      </w:r>
      <w:r>
        <w:rPr>
          <w:rFonts w:hint="eastAsia" w:ascii="仿宋_GB2312" w:hAnsi="黑体" w:eastAsia="仿宋_GB2312"/>
          <w:bCs/>
          <w:sz w:val="24"/>
          <w:szCs w:val="24"/>
          <w:highlight w:val="none"/>
        </w:rPr>
        <w:t>供应商资格</w:t>
      </w:r>
      <w:r>
        <w:rPr>
          <w:sz w:val="24"/>
          <w:szCs w:val="24"/>
        </w:rPr>
        <w:tab/>
      </w:r>
      <w:r>
        <w:rPr>
          <w:sz w:val="24"/>
          <w:szCs w:val="24"/>
        </w:rPr>
        <w:fldChar w:fldCharType="begin"/>
      </w:r>
      <w:r>
        <w:rPr>
          <w:sz w:val="24"/>
          <w:szCs w:val="24"/>
        </w:rPr>
        <w:instrText xml:space="preserve"> PAGEREF _Toc243942474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6A9020E8">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_Toc1089283625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二、 </w:t>
      </w:r>
      <w:r>
        <w:rPr>
          <w:rFonts w:hint="eastAsia" w:ascii="仿宋_GB2312" w:hAnsi="黑体" w:eastAsia="仿宋_GB2312"/>
          <w:bCs/>
          <w:sz w:val="24"/>
          <w:szCs w:val="24"/>
          <w:highlight w:val="none"/>
        </w:rPr>
        <w:t>响应文件</w:t>
      </w:r>
      <w:r>
        <w:rPr>
          <w:sz w:val="24"/>
          <w:szCs w:val="24"/>
        </w:rPr>
        <w:tab/>
      </w:r>
      <w:r>
        <w:rPr>
          <w:sz w:val="24"/>
          <w:szCs w:val="24"/>
        </w:rPr>
        <w:fldChar w:fldCharType="begin"/>
      </w:r>
      <w:r>
        <w:rPr>
          <w:sz w:val="24"/>
          <w:szCs w:val="24"/>
        </w:rPr>
        <w:instrText xml:space="preserve"> PAGEREF _Toc1089283625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6ECCBE76">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_Toc1687890826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三、 </w:t>
      </w:r>
      <w:r>
        <w:rPr>
          <w:rFonts w:hint="eastAsia" w:ascii="仿宋_GB2312" w:hAnsi="黑体" w:eastAsia="仿宋_GB2312"/>
          <w:bCs/>
          <w:sz w:val="24"/>
          <w:szCs w:val="24"/>
          <w:highlight w:val="none"/>
        </w:rPr>
        <w:t>竞争性磋商</w:t>
      </w:r>
      <w:r>
        <w:rPr>
          <w:sz w:val="24"/>
          <w:szCs w:val="24"/>
        </w:rPr>
        <w:tab/>
      </w:r>
      <w:r>
        <w:rPr>
          <w:sz w:val="24"/>
          <w:szCs w:val="24"/>
        </w:rPr>
        <w:fldChar w:fldCharType="begin"/>
      </w:r>
      <w:r>
        <w:rPr>
          <w:sz w:val="24"/>
          <w:szCs w:val="24"/>
        </w:rPr>
        <w:instrText xml:space="preserve"> PAGEREF _Toc1687890826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1FC6A8F9">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_Toc1803597530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sz w:val="24"/>
          <w:szCs w:val="24"/>
        </w:rPr>
        <w:t xml:space="preserve">四、 </w:t>
      </w:r>
      <w:r>
        <w:rPr>
          <w:rFonts w:hint="eastAsia" w:ascii="仿宋_GB2312" w:hAnsi="黑体" w:eastAsia="仿宋_GB2312"/>
          <w:sz w:val="24"/>
          <w:szCs w:val="24"/>
          <w:highlight w:val="none"/>
        </w:rPr>
        <w:t>成交通知</w:t>
      </w:r>
      <w:r>
        <w:rPr>
          <w:sz w:val="24"/>
          <w:szCs w:val="24"/>
        </w:rPr>
        <w:tab/>
      </w:r>
      <w:r>
        <w:rPr>
          <w:sz w:val="24"/>
          <w:szCs w:val="24"/>
        </w:rPr>
        <w:fldChar w:fldCharType="begin"/>
      </w:r>
      <w:r>
        <w:rPr>
          <w:sz w:val="24"/>
          <w:szCs w:val="24"/>
        </w:rPr>
        <w:instrText xml:space="preserve"> PAGEREF _Toc1803597530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79538098">
      <w:pPr>
        <w:pStyle w:val="8"/>
        <w:tabs>
          <w:tab w:val="right" w:leader="dot" w:pos="8306"/>
          <w:tab w:val="clear" w:pos="1050"/>
          <w:tab w:val="clear" w:pos="829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_Toc1120778703 </w:instrText>
      </w:r>
      <w:r>
        <w:rPr>
          <w:rFonts w:hint="eastAsia" w:asciiTheme="minorEastAsia" w:hAnsiTheme="minorEastAsia" w:eastAsiaTheme="minorEastAsia" w:cstheme="minorEastAsia"/>
          <w:sz w:val="24"/>
          <w:szCs w:val="24"/>
          <w:highlight w:val="none"/>
        </w:rPr>
        <w:fldChar w:fldCharType="separate"/>
      </w:r>
      <w:r>
        <w:rPr>
          <w:rFonts w:hint="default" w:ascii="仿宋_GB2312" w:hAnsi="黑体" w:eastAsia="仿宋_GB2312"/>
          <w:sz w:val="24"/>
          <w:szCs w:val="24"/>
        </w:rPr>
        <w:t xml:space="preserve">第四章 </w:t>
      </w:r>
      <w:r>
        <w:rPr>
          <w:rFonts w:hint="eastAsia" w:ascii="仿宋_GB2312" w:hAnsi="黑体" w:eastAsia="仿宋_GB2312"/>
          <w:sz w:val="24"/>
          <w:szCs w:val="24"/>
          <w:highlight w:val="none"/>
        </w:rPr>
        <w:t>响应文件要求</w:t>
      </w:r>
      <w:r>
        <w:rPr>
          <w:sz w:val="24"/>
          <w:szCs w:val="24"/>
        </w:rPr>
        <w:tab/>
      </w:r>
      <w:r>
        <w:rPr>
          <w:sz w:val="24"/>
          <w:szCs w:val="24"/>
        </w:rPr>
        <w:fldChar w:fldCharType="begin"/>
      </w:r>
      <w:r>
        <w:rPr>
          <w:sz w:val="24"/>
          <w:szCs w:val="24"/>
        </w:rPr>
        <w:instrText xml:space="preserve"> PAGEREF _Toc1120778703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7CEC3EF7">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_Toc1641151045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一、 </w:t>
      </w:r>
      <w:r>
        <w:rPr>
          <w:rFonts w:hint="eastAsia" w:ascii="仿宋_GB2312" w:hAnsi="黑体" w:eastAsia="仿宋_GB2312"/>
          <w:bCs/>
          <w:sz w:val="24"/>
          <w:szCs w:val="24"/>
          <w:highlight w:val="none"/>
        </w:rPr>
        <w:t>响应文件编制</w:t>
      </w:r>
      <w:r>
        <w:rPr>
          <w:sz w:val="24"/>
          <w:szCs w:val="24"/>
        </w:rPr>
        <w:tab/>
      </w:r>
      <w:r>
        <w:rPr>
          <w:sz w:val="24"/>
          <w:szCs w:val="24"/>
        </w:rPr>
        <w:fldChar w:fldCharType="begin"/>
      </w:r>
      <w:r>
        <w:rPr>
          <w:sz w:val="24"/>
          <w:szCs w:val="24"/>
        </w:rPr>
        <w:instrText xml:space="preserve"> PAGEREF _Toc1641151045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0B88D847">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_Toc1913614940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二、 </w:t>
      </w:r>
      <w:r>
        <w:rPr>
          <w:rFonts w:hint="eastAsia" w:ascii="仿宋_GB2312" w:hAnsi="黑体" w:eastAsia="仿宋_GB2312"/>
          <w:bCs/>
          <w:sz w:val="24"/>
          <w:szCs w:val="24"/>
          <w:highlight w:val="none"/>
        </w:rPr>
        <w:t>响应文件有效期</w:t>
      </w:r>
      <w:r>
        <w:rPr>
          <w:sz w:val="24"/>
          <w:szCs w:val="24"/>
        </w:rPr>
        <w:tab/>
      </w:r>
      <w:r>
        <w:rPr>
          <w:sz w:val="24"/>
          <w:szCs w:val="24"/>
        </w:rPr>
        <w:fldChar w:fldCharType="begin"/>
      </w:r>
      <w:r>
        <w:rPr>
          <w:sz w:val="24"/>
          <w:szCs w:val="24"/>
        </w:rPr>
        <w:instrText xml:space="preserve"> PAGEREF _Toc1913614940 \h </w:instrText>
      </w:r>
      <w:r>
        <w:rPr>
          <w:sz w:val="24"/>
          <w:szCs w:val="24"/>
        </w:rPr>
        <w:fldChar w:fldCharType="separate"/>
      </w:r>
      <w:r>
        <w:rPr>
          <w:sz w:val="24"/>
          <w:szCs w:val="24"/>
        </w:rPr>
        <w:t>7</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1F68DBD8">
      <w:pPr>
        <w:pStyle w:val="9"/>
        <w:tabs>
          <w:tab w:val="right" w:leader="dot" w:pos="8306"/>
        </w:tabs>
        <w:rPr>
          <w:sz w:val="24"/>
          <w:szCs w:val="24"/>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_Toc986751627 </w:instrText>
      </w:r>
      <w:r>
        <w:rPr>
          <w:rFonts w:hint="eastAsia" w:asciiTheme="minorEastAsia" w:hAnsiTheme="minorEastAsia" w:eastAsiaTheme="minorEastAsia" w:cstheme="minorEastAsia"/>
          <w:sz w:val="24"/>
          <w:szCs w:val="24"/>
          <w:highlight w:val="none"/>
        </w:rPr>
        <w:fldChar w:fldCharType="separate"/>
      </w:r>
      <w:r>
        <w:rPr>
          <w:rFonts w:ascii="仿宋_GB2312" w:hAnsi="黑体" w:eastAsia="仿宋_GB2312"/>
          <w:bCs/>
          <w:sz w:val="24"/>
          <w:szCs w:val="24"/>
        </w:rPr>
        <w:t xml:space="preserve">三、 </w:t>
      </w:r>
      <w:r>
        <w:rPr>
          <w:rFonts w:hint="eastAsia" w:ascii="仿宋_GB2312" w:hAnsi="黑体" w:eastAsia="仿宋_GB2312"/>
          <w:bCs/>
          <w:sz w:val="24"/>
          <w:szCs w:val="24"/>
          <w:highlight w:val="none"/>
        </w:rPr>
        <w:t>响应文件递交</w:t>
      </w:r>
      <w:r>
        <w:rPr>
          <w:sz w:val="24"/>
          <w:szCs w:val="24"/>
        </w:rPr>
        <w:tab/>
      </w:r>
      <w:r>
        <w:rPr>
          <w:sz w:val="24"/>
          <w:szCs w:val="24"/>
        </w:rPr>
        <w:fldChar w:fldCharType="begin"/>
      </w:r>
      <w:r>
        <w:rPr>
          <w:sz w:val="24"/>
          <w:szCs w:val="24"/>
        </w:rPr>
        <w:instrText xml:space="preserve"> PAGEREF _Toc986751627 \h </w:instrText>
      </w:r>
      <w:r>
        <w:rPr>
          <w:sz w:val="24"/>
          <w:szCs w:val="24"/>
        </w:rPr>
        <w:fldChar w:fldCharType="separate"/>
      </w:r>
      <w:r>
        <w:rPr>
          <w:sz w:val="24"/>
          <w:szCs w:val="24"/>
        </w:rPr>
        <w:t>7</w:t>
      </w:r>
      <w:r>
        <w:rPr>
          <w:sz w:val="24"/>
          <w:szCs w:val="24"/>
        </w:rPr>
        <w:fldChar w:fldCharType="end"/>
      </w:r>
      <w:r>
        <w:rPr>
          <w:rFonts w:hint="eastAsia" w:asciiTheme="minorEastAsia" w:hAnsiTheme="minorEastAsia" w:eastAsiaTheme="minorEastAsia" w:cstheme="minorEastAsia"/>
          <w:sz w:val="24"/>
          <w:szCs w:val="24"/>
          <w:highlight w:val="none"/>
        </w:rPr>
        <w:fldChar w:fldCharType="end"/>
      </w:r>
    </w:p>
    <w:p w14:paraId="3131D87C">
      <w:pPr>
        <w:spacing w:line="240" w:lineRule="auto"/>
        <w:jc w:val="center"/>
        <w:rPr>
          <w:rFonts w:hint="eastAsia" w:asciiTheme="minorEastAsia" w:hAnsiTheme="minorEastAsia" w:eastAsiaTheme="minorEastAsia" w:cstheme="minorEastAsia"/>
          <w:sz w:val="24"/>
          <w:szCs w:val="24"/>
          <w:highlight w:val="none"/>
        </w:rPr>
        <w:sectPr>
          <w:headerReference r:id="rId6" w:type="default"/>
          <w:pgSz w:w="11906" w:h="16838"/>
          <w:pgMar w:top="1440" w:right="1800" w:bottom="1440" w:left="1800" w:header="851" w:footer="992" w:gutter="0"/>
          <w:pgNumType w:start="1"/>
          <w:cols w:space="425" w:num="1"/>
          <w:docGrid w:type="lines" w:linePitch="312" w:charSpace="0"/>
        </w:sectPr>
      </w:pPr>
      <w:r>
        <w:rPr>
          <w:rFonts w:hint="eastAsia" w:asciiTheme="minorEastAsia" w:hAnsiTheme="minorEastAsia" w:eastAsiaTheme="minorEastAsia" w:cstheme="minorEastAsia"/>
          <w:sz w:val="24"/>
          <w:szCs w:val="24"/>
          <w:highlight w:val="none"/>
        </w:rPr>
        <w:fldChar w:fldCharType="end"/>
      </w:r>
    </w:p>
    <w:p w14:paraId="01BF016C">
      <w:pPr>
        <w:pStyle w:val="19"/>
        <w:widowControl/>
        <w:numPr>
          <w:ilvl w:val="0"/>
          <w:numId w:val="1"/>
        </w:numPr>
        <w:spacing w:line="600" w:lineRule="exact"/>
        <w:ind w:firstLineChars="0"/>
        <w:jc w:val="center"/>
        <w:outlineLvl w:val="0"/>
        <w:rPr>
          <w:rFonts w:ascii="仿宋_GB2312" w:hAnsi="黑体" w:eastAsia="仿宋_GB2312"/>
          <w:b/>
          <w:sz w:val="28"/>
          <w:szCs w:val="28"/>
          <w:highlight w:val="none"/>
        </w:rPr>
      </w:pPr>
      <w:bookmarkStart w:id="1" w:name="_Toc524600702"/>
      <w:r>
        <w:rPr>
          <w:rFonts w:hint="eastAsia" w:ascii="仿宋_GB2312" w:hAnsi="黑体" w:eastAsia="仿宋_GB2312"/>
          <w:b/>
          <w:sz w:val="28"/>
          <w:szCs w:val="28"/>
          <w:highlight w:val="none"/>
        </w:rPr>
        <w:t>采购邀请</w:t>
      </w:r>
      <w:bookmarkEnd w:id="1"/>
    </w:p>
    <w:p w14:paraId="10C56BDD">
      <w:pPr>
        <w:pStyle w:val="19"/>
        <w:widowControl/>
        <w:numPr>
          <w:ilvl w:val="0"/>
          <w:numId w:val="2"/>
        </w:numPr>
        <w:spacing w:line="600" w:lineRule="exact"/>
        <w:ind w:firstLineChars="0"/>
        <w:outlineLvl w:val="1"/>
        <w:rPr>
          <w:rFonts w:ascii="仿宋_GB2312" w:hAnsi="黑体" w:eastAsia="仿宋_GB2312"/>
          <w:b/>
          <w:bCs/>
          <w:sz w:val="28"/>
          <w:szCs w:val="28"/>
          <w:highlight w:val="none"/>
        </w:rPr>
      </w:pPr>
      <w:bookmarkStart w:id="2" w:name="_Toc580943841"/>
      <w:r>
        <w:rPr>
          <w:rFonts w:hint="eastAsia" w:ascii="仿宋_GB2312" w:hAnsi="黑体" w:eastAsia="仿宋_GB2312"/>
          <w:b/>
          <w:bCs/>
          <w:sz w:val="28"/>
          <w:szCs w:val="28"/>
          <w:highlight w:val="none"/>
        </w:rPr>
        <w:t>采购方式</w:t>
      </w:r>
      <w:bookmarkEnd w:id="2"/>
    </w:p>
    <w:p w14:paraId="3E313AF7">
      <w:pPr>
        <w:pStyle w:val="19"/>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中证中小投资者服务中心有限责任公司</w:t>
      </w:r>
      <w:r>
        <w:rPr>
          <w:rFonts w:hint="eastAsia" w:ascii="仿宋_GB2312" w:hAnsi="黑体" w:eastAsia="仿宋_GB2312"/>
          <w:sz w:val="28"/>
          <w:szCs w:val="28"/>
          <w:highlight w:val="none"/>
          <w:lang w:val="en-US" w:eastAsia="zh-CN"/>
        </w:rPr>
        <w:t>职工子女暑期托管服务项目</w:t>
      </w:r>
      <w:r>
        <w:rPr>
          <w:rFonts w:hint="eastAsia" w:ascii="仿宋_GB2312" w:hAnsi="黑体" w:eastAsia="仿宋_GB2312"/>
          <w:sz w:val="28"/>
          <w:szCs w:val="28"/>
          <w:highlight w:val="none"/>
        </w:rPr>
        <w:t>已启动采购程序，现决定以竞争性磋商方式采购，</w:t>
      </w:r>
      <w:r>
        <w:rPr>
          <w:rFonts w:hint="eastAsia" w:ascii="仿宋_GB2312" w:hAnsi="黑体" w:eastAsia="仿宋_GB2312"/>
          <w:sz w:val="28"/>
          <w:szCs w:val="28"/>
          <w:highlight w:val="none"/>
          <w:lang w:eastAsia="zh-CN"/>
        </w:rPr>
        <w:t>公开征集</w:t>
      </w:r>
      <w:r>
        <w:rPr>
          <w:rFonts w:hint="eastAsia" w:ascii="仿宋_GB2312" w:hAnsi="黑体" w:eastAsia="仿宋_GB2312"/>
          <w:sz w:val="28"/>
          <w:szCs w:val="28"/>
          <w:highlight w:val="none"/>
        </w:rPr>
        <w:t>符合条件的供应商参加竞争性磋商。</w:t>
      </w:r>
    </w:p>
    <w:p w14:paraId="7B912894">
      <w:pPr>
        <w:pStyle w:val="19"/>
        <w:widowControl/>
        <w:numPr>
          <w:ilvl w:val="0"/>
          <w:numId w:val="2"/>
        </w:numPr>
        <w:spacing w:line="600" w:lineRule="exact"/>
        <w:ind w:firstLineChars="0"/>
        <w:outlineLvl w:val="1"/>
        <w:rPr>
          <w:rFonts w:ascii="仿宋_GB2312" w:hAnsi="黑体" w:eastAsia="仿宋_GB2312"/>
          <w:b/>
          <w:bCs/>
          <w:sz w:val="28"/>
          <w:szCs w:val="28"/>
          <w:highlight w:val="none"/>
        </w:rPr>
      </w:pPr>
      <w:bookmarkStart w:id="3" w:name="_Toc2126902417"/>
      <w:r>
        <w:rPr>
          <w:rFonts w:hint="eastAsia" w:ascii="仿宋_GB2312" w:hAnsi="黑体" w:eastAsia="仿宋_GB2312"/>
          <w:b/>
          <w:bCs/>
          <w:sz w:val="28"/>
          <w:szCs w:val="28"/>
          <w:highlight w:val="none"/>
        </w:rPr>
        <w:t>采购项目概况</w:t>
      </w:r>
      <w:bookmarkEnd w:id="3"/>
    </w:p>
    <w:p w14:paraId="2C641F5D">
      <w:pPr>
        <w:pStyle w:val="19"/>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采购项目名称：</w:t>
      </w:r>
      <w:r>
        <w:rPr>
          <w:rFonts w:hint="eastAsia" w:ascii="仿宋_GB2312" w:hAnsi="黑体" w:eastAsia="仿宋_GB2312"/>
          <w:sz w:val="28"/>
          <w:szCs w:val="28"/>
          <w:highlight w:val="none"/>
          <w:lang w:eastAsia="zh-CN"/>
        </w:rPr>
        <w:t>职工子女暑期托管服务</w:t>
      </w:r>
      <w:r>
        <w:rPr>
          <w:rFonts w:hint="eastAsia" w:ascii="仿宋_GB2312" w:hAnsi="黑体" w:eastAsia="仿宋_GB2312"/>
          <w:sz w:val="28"/>
          <w:szCs w:val="28"/>
          <w:highlight w:val="none"/>
        </w:rPr>
        <w:t>项目</w:t>
      </w:r>
    </w:p>
    <w:p w14:paraId="0E6E1B73">
      <w:pPr>
        <w:pStyle w:val="19"/>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采购内容：</w:t>
      </w:r>
      <w:r>
        <w:rPr>
          <w:rFonts w:hint="eastAsia" w:ascii="仿宋_GB2312" w:hAnsi="黑体" w:eastAsia="仿宋_GB2312"/>
          <w:sz w:val="28"/>
          <w:szCs w:val="28"/>
          <w:highlight w:val="none"/>
          <w:lang w:val="en-US" w:eastAsia="zh-CN"/>
        </w:rPr>
        <w:t>职工子女暑期托管服务服务。成交供应商应提供托管服务方案和服务报价等文件，根据采购人需求提供职工子女托管服务。</w:t>
      </w:r>
    </w:p>
    <w:p w14:paraId="1E1E74A6">
      <w:pPr>
        <w:pStyle w:val="19"/>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采购人：</w:t>
      </w:r>
      <w:bookmarkStart w:id="4" w:name="OLE_LINK4"/>
      <w:r>
        <w:rPr>
          <w:rFonts w:hint="eastAsia" w:ascii="仿宋_GB2312" w:hAnsi="黑体" w:eastAsia="仿宋_GB2312"/>
          <w:sz w:val="28"/>
          <w:szCs w:val="28"/>
          <w:highlight w:val="none"/>
          <w:lang w:eastAsia="zh-CN"/>
        </w:rPr>
        <w:t>中证中小投资者服务中心有限责任公司</w:t>
      </w:r>
      <w:bookmarkEnd w:id="4"/>
      <w:r>
        <w:rPr>
          <w:rFonts w:hint="eastAsia" w:ascii="仿宋_GB2312" w:hAnsi="黑体" w:eastAsia="仿宋_GB2312"/>
          <w:sz w:val="28"/>
          <w:szCs w:val="28"/>
          <w:highlight w:val="none"/>
          <w:lang w:eastAsia="zh-CN"/>
        </w:rPr>
        <w:t>、</w:t>
      </w:r>
    </w:p>
    <w:p w14:paraId="63612FB7">
      <w:pPr>
        <w:pStyle w:val="19"/>
        <w:widowControl/>
        <w:numPr>
          <w:ilvl w:val="0"/>
          <w:numId w:val="0"/>
        </w:numPr>
        <w:spacing w:line="600" w:lineRule="exact"/>
        <w:ind w:leftChars="0" w:firstLine="1960" w:firstLineChars="70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中证中小投资者服务中心有限责任公司</w:t>
      </w:r>
      <w:r>
        <w:rPr>
          <w:rFonts w:hint="eastAsia" w:ascii="仿宋_GB2312" w:hAnsi="黑体" w:eastAsia="仿宋_GB2312"/>
          <w:sz w:val="28"/>
          <w:szCs w:val="28"/>
          <w:highlight w:val="none"/>
          <w:lang w:val="en-US" w:eastAsia="zh-CN"/>
        </w:rPr>
        <w:t>工会</w:t>
      </w:r>
    </w:p>
    <w:p w14:paraId="5E9C3968">
      <w:pPr>
        <w:pStyle w:val="19"/>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lang w:val="en-US" w:eastAsia="zh-CN"/>
        </w:rPr>
        <w:t>报价限价：不得超过每人每天350元（含午餐）。</w:t>
      </w:r>
    </w:p>
    <w:p w14:paraId="71CCF632">
      <w:pPr>
        <w:pStyle w:val="19"/>
        <w:widowControl/>
        <w:numPr>
          <w:ilvl w:val="0"/>
          <w:numId w:val="2"/>
        </w:numPr>
        <w:spacing w:line="600" w:lineRule="exact"/>
        <w:ind w:firstLineChars="0"/>
        <w:outlineLvl w:val="1"/>
        <w:rPr>
          <w:rFonts w:ascii="仿宋_GB2312" w:hAnsi="黑体" w:eastAsia="仿宋_GB2312"/>
          <w:b/>
          <w:bCs/>
          <w:sz w:val="28"/>
          <w:szCs w:val="28"/>
          <w:highlight w:val="none"/>
        </w:rPr>
      </w:pPr>
      <w:bookmarkStart w:id="5" w:name="_Toc560066400"/>
      <w:r>
        <w:rPr>
          <w:rFonts w:hint="eastAsia" w:ascii="仿宋_GB2312" w:hAnsi="黑体" w:eastAsia="仿宋_GB2312"/>
          <w:b/>
          <w:bCs/>
          <w:sz w:val="28"/>
          <w:szCs w:val="28"/>
          <w:highlight w:val="none"/>
        </w:rPr>
        <w:t>提交响应文件及竞争性磋商的时间和地点</w:t>
      </w:r>
      <w:bookmarkEnd w:id="5"/>
    </w:p>
    <w:p w14:paraId="5AB14F5F">
      <w:pPr>
        <w:pStyle w:val="19"/>
        <w:widowControl/>
        <w:numPr>
          <w:ilvl w:val="0"/>
          <w:numId w:val="4"/>
        </w:numPr>
        <w:spacing w:line="600" w:lineRule="exact"/>
        <w:ind w:left="0" w:firstLine="0" w:firstLineChars="0"/>
        <w:rPr>
          <w:rFonts w:hint="eastAsia" w:ascii="仿宋_GB2312" w:hAnsi="黑体" w:eastAsia="仿宋_GB2312"/>
          <w:sz w:val="28"/>
          <w:szCs w:val="28"/>
          <w:highlight w:val="none"/>
        </w:rPr>
      </w:pPr>
      <w:r>
        <w:rPr>
          <w:rFonts w:hint="eastAsia" w:ascii="仿宋_GB2312" w:hAnsi="黑体" w:eastAsia="仿宋_GB2312"/>
          <w:sz w:val="28"/>
          <w:szCs w:val="28"/>
          <w:highlight w:val="none"/>
        </w:rPr>
        <w:t>截止时间</w:t>
      </w:r>
      <w:r>
        <w:rPr>
          <w:rFonts w:hint="eastAsia" w:ascii="仿宋_GB2312" w:hAnsi="黑体" w:eastAsia="仿宋_GB2312"/>
          <w:sz w:val="28"/>
          <w:szCs w:val="28"/>
          <w:highlight w:val="none"/>
          <w:lang w:val="en-US" w:eastAsia="zh-CN"/>
        </w:rPr>
        <w:t>及</w:t>
      </w:r>
      <w:r>
        <w:rPr>
          <w:rFonts w:hint="eastAsia" w:ascii="仿宋_GB2312" w:hAnsi="黑体" w:eastAsia="仿宋_GB2312"/>
          <w:sz w:val="28"/>
          <w:szCs w:val="28"/>
          <w:highlight w:val="none"/>
        </w:rPr>
        <w:t>竞争性磋商时间：</w:t>
      </w:r>
      <w:r>
        <w:rPr>
          <w:rFonts w:hint="eastAsia" w:ascii="仿宋_GB2312" w:hAnsi="黑体" w:eastAsia="仿宋_GB2312"/>
          <w:sz w:val="28"/>
          <w:szCs w:val="28"/>
          <w:highlight w:val="none"/>
          <w:lang w:val="en-US" w:eastAsia="zh-CN"/>
        </w:rPr>
        <w:t>2026</w:t>
      </w:r>
      <w:r>
        <w:rPr>
          <w:rFonts w:hint="eastAsia" w:ascii="仿宋_GB2312" w:hAnsi="黑体" w:eastAsia="仿宋_GB2312"/>
          <w:sz w:val="28"/>
          <w:szCs w:val="28"/>
          <w:highlight w:val="none"/>
        </w:rPr>
        <w:t>年</w:t>
      </w:r>
      <w:r>
        <w:rPr>
          <w:rFonts w:hint="eastAsia" w:ascii="仿宋_GB2312" w:hAnsi="黑体" w:eastAsia="仿宋_GB2312"/>
          <w:sz w:val="28"/>
          <w:szCs w:val="28"/>
          <w:highlight w:val="none"/>
          <w:lang w:val="en-US" w:eastAsia="zh-CN"/>
        </w:rPr>
        <w:t>6</w:t>
      </w:r>
      <w:r>
        <w:rPr>
          <w:rFonts w:hint="eastAsia" w:ascii="仿宋_GB2312" w:hAnsi="黑体" w:eastAsia="仿宋_GB2312"/>
          <w:sz w:val="28"/>
          <w:szCs w:val="28"/>
          <w:highlight w:val="none"/>
        </w:rPr>
        <w:t>月</w:t>
      </w:r>
      <w:r>
        <w:rPr>
          <w:rFonts w:hint="eastAsia" w:ascii="仿宋_GB2312" w:hAnsi="黑体" w:eastAsia="仿宋_GB2312"/>
          <w:sz w:val="28"/>
          <w:szCs w:val="28"/>
          <w:highlight w:val="none"/>
          <w:lang w:val="en-US" w:eastAsia="zh-CN"/>
        </w:rPr>
        <w:t>29</w:t>
      </w:r>
      <w:r>
        <w:rPr>
          <w:rFonts w:hint="eastAsia" w:ascii="仿宋_GB2312" w:hAnsi="黑体" w:eastAsia="仿宋_GB2312"/>
          <w:sz w:val="28"/>
          <w:szCs w:val="28"/>
          <w:highlight w:val="none"/>
        </w:rPr>
        <w:t>日</w:t>
      </w:r>
      <w:r>
        <w:rPr>
          <w:rFonts w:hint="eastAsia" w:ascii="仿宋_GB2312" w:hAnsi="黑体" w:eastAsia="仿宋_GB2312"/>
          <w:sz w:val="28"/>
          <w:szCs w:val="28"/>
          <w:highlight w:val="none"/>
          <w:lang w:val="en-US" w:eastAsia="zh-CN"/>
        </w:rPr>
        <w:t>9：30</w:t>
      </w:r>
    </w:p>
    <w:p w14:paraId="4237120F">
      <w:pPr>
        <w:pStyle w:val="19"/>
        <w:widowControl/>
        <w:numPr>
          <w:ilvl w:val="0"/>
          <w:numId w:val="4"/>
        </w:numPr>
        <w:spacing w:line="600" w:lineRule="exact"/>
        <w:ind w:left="0" w:firstLine="0" w:firstLineChars="0"/>
        <w:rPr>
          <w:rFonts w:hint="eastAsia" w:ascii="仿宋_GB2312" w:hAnsi="黑体" w:eastAsia="仿宋_GB2312"/>
          <w:sz w:val="28"/>
          <w:szCs w:val="28"/>
          <w:highlight w:val="none"/>
        </w:rPr>
      </w:pPr>
      <w:r>
        <w:rPr>
          <w:rFonts w:hint="eastAsia" w:ascii="仿宋_GB2312" w:hAnsi="黑体" w:eastAsia="仿宋_GB2312"/>
          <w:sz w:val="28"/>
          <w:szCs w:val="28"/>
          <w:highlight w:val="none"/>
        </w:rPr>
        <w:t>提交响应文件</w:t>
      </w:r>
      <w:r>
        <w:rPr>
          <w:rFonts w:hint="eastAsia" w:ascii="仿宋_GB2312" w:hAnsi="黑体" w:eastAsia="仿宋_GB2312"/>
          <w:sz w:val="28"/>
          <w:szCs w:val="28"/>
          <w:highlight w:val="none"/>
          <w:lang w:val="en-US" w:eastAsia="zh-CN"/>
        </w:rPr>
        <w:t>及</w:t>
      </w:r>
      <w:r>
        <w:rPr>
          <w:rFonts w:hint="eastAsia" w:ascii="仿宋_GB2312" w:hAnsi="黑体" w:eastAsia="仿宋_GB2312"/>
          <w:sz w:val="28"/>
          <w:szCs w:val="28"/>
          <w:highlight w:val="none"/>
        </w:rPr>
        <w:t>竞争性磋商地点：上海市浦东新区</w:t>
      </w:r>
      <w:r>
        <w:rPr>
          <w:rFonts w:hint="eastAsia" w:ascii="仿宋_GB2312" w:hAnsi="黑体" w:eastAsia="仿宋_GB2312"/>
          <w:sz w:val="28"/>
          <w:szCs w:val="28"/>
          <w:highlight w:val="none"/>
          <w:lang w:eastAsia="zh-CN"/>
        </w:rPr>
        <w:t>杨高南路</w:t>
      </w:r>
      <w:r>
        <w:rPr>
          <w:rFonts w:hint="eastAsia" w:ascii="仿宋_GB2312" w:hAnsi="黑体" w:eastAsia="仿宋_GB2312"/>
          <w:sz w:val="28"/>
          <w:szCs w:val="28"/>
          <w:highlight w:val="none"/>
          <w:lang w:val="en-US" w:eastAsia="zh-CN"/>
        </w:rPr>
        <w:t>288</w:t>
      </w:r>
      <w:r>
        <w:rPr>
          <w:rFonts w:hint="eastAsia" w:ascii="仿宋_GB2312" w:hAnsi="黑体" w:eastAsia="仿宋_GB2312"/>
          <w:sz w:val="28"/>
          <w:szCs w:val="28"/>
          <w:highlight w:val="none"/>
        </w:rPr>
        <w:t>号</w:t>
      </w:r>
      <w:r>
        <w:rPr>
          <w:rFonts w:hint="eastAsia" w:ascii="仿宋_GB2312" w:hAnsi="黑体" w:eastAsia="仿宋_GB2312"/>
          <w:sz w:val="28"/>
          <w:szCs w:val="28"/>
          <w:highlight w:val="none"/>
          <w:lang w:val="en-US" w:eastAsia="zh-CN"/>
        </w:rPr>
        <w:t>15楼会议室</w:t>
      </w:r>
    </w:p>
    <w:p w14:paraId="3F54DF0F">
      <w:pPr>
        <w:pStyle w:val="19"/>
        <w:widowControl/>
        <w:numPr>
          <w:ilvl w:val="0"/>
          <w:numId w:val="4"/>
        </w:numPr>
        <w:spacing w:line="600" w:lineRule="exact"/>
        <w:ind w:left="0" w:firstLine="0" w:firstLineChars="0"/>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rPr>
        <w:t>联系人：</w:t>
      </w:r>
      <w:r>
        <w:rPr>
          <w:rFonts w:hint="eastAsia" w:ascii="仿宋" w:hAnsi="仿宋" w:eastAsia="仿宋" w:cs="仿宋"/>
          <w:sz w:val="32"/>
          <w:szCs w:val="32"/>
          <w:lang w:val="en-US" w:eastAsia="zh-CN"/>
        </w:rPr>
        <w:t>邢</w:t>
      </w:r>
      <w:r>
        <w:rPr>
          <w:rFonts w:hint="eastAsia" w:ascii="仿宋" w:hAnsi="仿宋" w:eastAsia="仿宋" w:cs="仿宋"/>
          <w:sz w:val="32"/>
          <w:szCs w:val="32"/>
        </w:rPr>
        <w:t>老师</w:t>
      </w:r>
    </w:p>
    <w:p w14:paraId="0F5C3D86">
      <w:pPr>
        <w:pStyle w:val="19"/>
        <w:widowControl/>
        <w:numPr>
          <w:ilvl w:val="0"/>
          <w:numId w:val="0"/>
        </w:numPr>
        <w:spacing w:line="600" w:lineRule="exact"/>
        <w:ind w:leftChars="0" w:firstLine="840" w:firstLineChars="300"/>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rPr>
        <w:t>电话：</w:t>
      </w:r>
      <w:r>
        <w:rPr>
          <w:rFonts w:hint="eastAsia" w:ascii="仿宋" w:hAnsi="仿宋" w:eastAsia="仿宋" w:cs="仿宋"/>
          <w:sz w:val="32"/>
          <w:szCs w:val="32"/>
          <w:lang w:val="en-US" w:eastAsia="zh-CN"/>
        </w:rPr>
        <w:t>0</w:t>
      </w:r>
      <w:r>
        <w:rPr>
          <w:rFonts w:hint="eastAsia" w:ascii="仿宋" w:hAnsi="仿宋" w:eastAsia="仿宋" w:cs="仿宋"/>
          <w:sz w:val="32"/>
          <w:szCs w:val="32"/>
        </w:rPr>
        <w:t>21-</w:t>
      </w:r>
      <w:r>
        <w:rPr>
          <w:rFonts w:hint="eastAsia" w:ascii="仿宋" w:hAnsi="仿宋" w:eastAsia="仿宋" w:cs="仿宋"/>
          <w:sz w:val="32"/>
          <w:szCs w:val="32"/>
          <w:lang w:val="en-US" w:eastAsia="zh-CN"/>
        </w:rPr>
        <w:t>51916862</w:t>
      </w:r>
    </w:p>
    <w:p w14:paraId="6E021421">
      <w:pPr>
        <w:pStyle w:val="19"/>
        <w:widowControl/>
        <w:numPr>
          <w:ilvl w:val="0"/>
          <w:numId w:val="2"/>
        </w:numPr>
        <w:spacing w:line="600" w:lineRule="exact"/>
        <w:ind w:firstLineChars="0"/>
        <w:outlineLvl w:val="1"/>
        <w:rPr>
          <w:rFonts w:ascii="仿宋_GB2312" w:hAnsi="黑体" w:eastAsia="仿宋_GB2312"/>
          <w:b/>
          <w:bCs/>
          <w:sz w:val="28"/>
          <w:szCs w:val="28"/>
          <w:highlight w:val="none"/>
        </w:rPr>
      </w:pPr>
      <w:bookmarkStart w:id="6" w:name="_Toc1776962733"/>
      <w:r>
        <w:rPr>
          <w:rFonts w:hint="eastAsia" w:ascii="仿宋_GB2312" w:hAnsi="黑体" w:eastAsia="仿宋_GB2312"/>
          <w:b/>
          <w:bCs/>
          <w:sz w:val="28"/>
          <w:szCs w:val="28"/>
          <w:highlight w:val="none"/>
        </w:rPr>
        <w:t>其他相关说明</w:t>
      </w:r>
      <w:bookmarkEnd w:id="6"/>
    </w:p>
    <w:p w14:paraId="1BB442A9">
      <w:pPr>
        <w:pStyle w:val="19"/>
        <w:widowControl/>
        <w:spacing w:line="600" w:lineRule="exact"/>
        <w:ind w:left="420" w:firstLine="0" w:firstLineChars="0"/>
        <w:rPr>
          <w:rFonts w:ascii="仿宋_GB2312" w:hAnsi="黑体" w:eastAsia="仿宋_GB2312"/>
          <w:sz w:val="28"/>
          <w:szCs w:val="28"/>
          <w:highlight w:val="none"/>
        </w:rPr>
      </w:pPr>
      <w:r>
        <w:rPr>
          <w:rFonts w:hint="eastAsia" w:ascii="仿宋_GB2312" w:hAnsi="黑体" w:eastAsia="仿宋_GB2312"/>
          <w:sz w:val="28"/>
          <w:szCs w:val="28"/>
          <w:highlight w:val="none"/>
        </w:rPr>
        <w:t>本次采购活动未尽事宜的解释权属于</w:t>
      </w:r>
      <w:r>
        <w:rPr>
          <w:rFonts w:hint="eastAsia" w:ascii="仿宋_GB2312" w:hAnsi="黑体" w:eastAsia="仿宋_GB2312"/>
          <w:sz w:val="28"/>
          <w:szCs w:val="28"/>
          <w:highlight w:val="none"/>
          <w:lang w:eastAsia="zh-CN"/>
        </w:rPr>
        <w:t>中证中小投资者服务中心有限责任公司</w:t>
      </w:r>
      <w:r>
        <w:rPr>
          <w:rFonts w:hint="eastAsia" w:ascii="仿宋_GB2312" w:hAnsi="黑体" w:eastAsia="仿宋_GB2312"/>
          <w:sz w:val="28"/>
          <w:szCs w:val="28"/>
          <w:highlight w:val="none"/>
        </w:rPr>
        <w:t>。</w:t>
      </w:r>
    </w:p>
    <w:p w14:paraId="6E496435">
      <w:pPr>
        <w:pStyle w:val="19"/>
        <w:widowControl/>
        <w:spacing w:line="600" w:lineRule="exact"/>
        <w:ind w:left="420" w:firstLine="0" w:firstLineChars="0"/>
        <w:rPr>
          <w:rFonts w:ascii="仿宋_GB2312" w:hAnsi="黑体" w:eastAsia="仿宋_GB2312"/>
          <w:sz w:val="28"/>
          <w:szCs w:val="28"/>
          <w:highlight w:val="none"/>
        </w:rPr>
      </w:pPr>
    </w:p>
    <w:p w14:paraId="157FE8B0">
      <w:pPr>
        <w:pStyle w:val="19"/>
        <w:widowControl/>
        <w:spacing w:line="600" w:lineRule="exact"/>
        <w:ind w:left="420" w:firstLine="0" w:firstLineChars="0"/>
        <w:rPr>
          <w:rFonts w:ascii="仿宋_GB2312" w:hAnsi="黑体" w:eastAsia="仿宋_GB2312"/>
          <w:sz w:val="28"/>
          <w:szCs w:val="28"/>
          <w:highlight w:val="none"/>
        </w:rPr>
      </w:pPr>
    </w:p>
    <w:p w14:paraId="2A70CA1B">
      <w:pPr>
        <w:pStyle w:val="19"/>
        <w:widowControl/>
        <w:numPr>
          <w:ilvl w:val="0"/>
          <w:numId w:val="1"/>
        </w:numPr>
        <w:spacing w:line="600" w:lineRule="exact"/>
        <w:ind w:firstLineChars="0"/>
        <w:jc w:val="center"/>
        <w:outlineLvl w:val="0"/>
        <w:rPr>
          <w:rFonts w:ascii="仿宋_GB2312" w:hAnsi="黑体" w:eastAsia="仿宋_GB2312"/>
          <w:b/>
          <w:sz w:val="28"/>
          <w:szCs w:val="28"/>
          <w:highlight w:val="none"/>
        </w:rPr>
      </w:pPr>
      <w:bookmarkStart w:id="7" w:name="_Toc1854044227"/>
      <w:r>
        <w:rPr>
          <w:rFonts w:hint="eastAsia" w:ascii="仿宋_GB2312" w:hAnsi="黑体" w:eastAsia="仿宋_GB2312"/>
          <w:b/>
          <w:sz w:val="28"/>
          <w:szCs w:val="28"/>
          <w:highlight w:val="none"/>
        </w:rPr>
        <w:t>采购内容及要求</w:t>
      </w:r>
      <w:bookmarkEnd w:id="7"/>
    </w:p>
    <w:p w14:paraId="7353ED2F">
      <w:pPr>
        <w:numPr>
          <w:ilvl w:val="0"/>
          <w:numId w:val="0"/>
        </w:numPr>
        <w:adjustRightInd w:val="0"/>
        <w:snapToGrid w:val="0"/>
        <w:spacing w:line="360" w:lineRule="auto"/>
        <w:ind w:leftChars="0"/>
        <w:rPr>
          <w:rFonts w:hint="eastAsia" w:ascii="仿宋" w:hAnsi="仿宋" w:eastAsia="仿宋" w:cs="仿宋"/>
          <w:b w:val="0"/>
          <w:bCs/>
          <w:sz w:val="28"/>
          <w:szCs w:val="28"/>
          <w:highlight w:val="none"/>
          <w:lang w:val="en-US" w:eastAsia="zh-CN"/>
        </w:rPr>
      </w:pPr>
    </w:p>
    <w:p w14:paraId="6CC98A86">
      <w:pPr>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outlineLvl w:val="1"/>
        <w:rPr>
          <w:rFonts w:hint="eastAsia" w:ascii="仿宋" w:hAnsi="仿宋" w:eastAsia="仿宋" w:cs="仿宋"/>
          <w:b/>
          <w:bCs/>
          <w:sz w:val="28"/>
          <w:szCs w:val="28"/>
          <w:lang w:val="en-US" w:eastAsia="zh-CN"/>
        </w:rPr>
      </w:pPr>
      <w:bookmarkStart w:id="8" w:name="_Toc1009362788"/>
      <w:r>
        <w:rPr>
          <w:rFonts w:hint="eastAsia" w:ascii="仿宋" w:hAnsi="仿宋" w:eastAsia="仿宋" w:cs="仿宋"/>
          <w:b/>
          <w:bCs/>
          <w:sz w:val="28"/>
          <w:szCs w:val="28"/>
          <w:lang w:val="en-US" w:eastAsia="zh-CN"/>
        </w:rPr>
        <w:t>一、托管对象</w:t>
      </w:r>
      <w:bookmarkEnd w:id="8"/>
    </w:p>
    <w:p w14:paraId="3ABBAF81">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2026年9月开学为1—6年级的职工（工会会员）子女。</w:t>
      </w:r>
    </w:p>
    <w:p w14:paraId="619A4810">
      <w:pPr>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outlineLvl w:val="1"/>
        <w:rPr>
          <w:rFonts w:hint="eastAsia" w:ascii="仿宋" w:hAnsi="仿宋" w:eastAsia="仿宋" w:cs="仿宋"/>
          <w:b/>
          <w:bCs/>
          <w:sz w:val="28"/>
          <w:szCs w:val="28"/>
          <w:lang w:val="en-US" w:eastAsia="zh-CN"/>
        </w:rPr>
      </w:pPr>
      <w:bookmarkStart w:id="9" w:name="_Toc810552344"/>
      <w:r>
        <w:rPr>
          <w:rFonts w:hint="eastAsia" w:ascii="仿宋" w:hAnsi="仿宋" w:eastAsia="仿宋" w:cs="仿宋"/>
          <w:b/>
          <w:bCs/>
          <w:sz w:val="28"/>
          <w:szCs w:val="28"/>
          <w:lang w:val="en-US" w:eastAsia="zh-CN"/>
        </w:rPr>
        <w:t>二、托管时长</w:t>
      </w:r>
      <w:bookmarkEnd w:id="9"/>
    </w:p>
    <w:p w14:paraId="20A1FC75">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2026年7月6日至8月28日（工作日上下午），提供2—8周的托管服务，2周为1期，职工可为子女报1—4期，总计10—40天。</w:t>
      </w:r>
    </w:p>
    <w:p w14:paraId="4620698E">
      <w:pPr>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outlineLvl w:val="1"/>
        <w:rPr>
          <w:rFonts w:hint="eastAsia" w:ascii="仿宋" w:hAnsi="仿宋" w:eastAsia="仿宋" w:cs="仿宋"/>
          <w:b/>
          <w:bCs/>
          <w:sz w:val="28"/>
          <w:szCs w:val="28"/>
          <w:lang w:val="en-US" w:eastAsia="zh-CN"/>
        </w:rPr>
      </w:pPr>
      <w:bookmarkStart w:id="10" w:name="_Toc1006681312"/>
      <w:r>
        <w:rPr>
          <w:rFonts w:hint="eastAsia" w:ascii="仿宋" w:hAnsi="仿宋" w:eastAsia="仿宋" w:cs="仿宋"/>
          <w:b/>
          <w:bCs/>
          <w:sz w:val="28"/>
          <w:szCs w:val="28"/>
          <w:lang w:val="en-US" w:eastAsia="zh-CN"/>
        </w:rPr>
        <w:t>三、班级人数与师资</w:t>
      </w:r>
      <w:bookmarkEnd w:id="10"/>
    </w:p>
    <w:p w14:paraId="3C83D8E3">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outlineLvl w:val="1"/>
        <w:rPr>
          <w:rFonts w:hint="eastAsia" w:ascii="仿宋" w:hAnsi="仿宋" w:eastAsia="仿宋" w:cs="仿宋"/>
          <w:sz w:val="28"/>
          <w:szCs w:val="28"/>
          <w:lang w:val="en-US" w:eastAsia="zh-CN"/>
        </w:rPr>
      </w:pPr>
      <w:bookmarkStart w:id="11" w:name="_Toc1930321601"/>
      <w:r>
        <w:rPr>
          <w:rFonts w:hint="eastAsia" w:ascii="仿宋" w:hAnsi="仿宋" w:eastAsia="仿宋" w:cs="仿宋"/>
          <w:sz w:val="28"/>
          <w:szCs w:val="28"/>
          <w:lang w:val="en-US" w:eastAsia="zh-CN"/>
        </w:rPr>
        <w:t>每期根据年龄段分班教学。除授课老师外，每班应配备班主任和生活老师。</w:t>
      </w:r>
    </w:p>
    <w:p w14:paraId="7E7D3A58">
      <w:pPr>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outlineLvl w:val="1"/>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四、课程安排</w:t>
      </w:r>
      <w:bookmarkEnd w:id="11"/>
    </w:p>
    <w:p w14:paraId="6D1C3A44">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暑托班课程兼顾完成假期作业、学业辅导、体育锻炼与兴趣拓展。供应商应提供具体的课程表。</w:t>
      </w:r>
    </w:p>
    <w:p w14:paraId="63A25FDF">
      <w:pPr>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outlineLvl w:val="1"/>
        <w:rPr>
          <w:rFonts w:hint="eastAsia" w:ascii="仿宋" w:hAnsi="仿宋" w:eastAsia="仿宋" w:cs="仿宋"/>
          <w:b/>
          <w:bCs/>
          <w:sz w:val="28"/>
          <w:szCs w:val="28"/>
          <w:lang w:val="en-US" w:eastAsia="zh-CN"/>
        </w:rPr>
      </w:pPr>
      <w:bookmarkStart w:id="12" w:name="_Toc987580932"/>
      <w:r>
        <w:rPr>
          <w:rFonts w:hint="eastAsia" w:ascii="仿宋" w:hAnsi="仿宋" w:eastAsia="仿宋" w:cs="仿宋"/>
          <w:b/>
          <w:bCs/>
          <w:sz w:val="28"/>
          <w:szCs w:val="28"/>
          <w:lang w:val="en-US" w:eastAsia="zh-CN"/>
        </w:rPr>
        <w:t>五、班车接送</w:t>
      </w:r>
      <w:bookmarkEnd w:id="12"/>
    </w:p>
    <w:p w14:paraId="4EC9343A">
      <w:pPr>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应商安排班车接送职工子女往返采购人办公地及托管场所。工作日早上8:30左右发车，由家长在发车前把子女送上指定车辆并签到；下午5:30左右，班车抵达采购人办公地（上海金融交易广场内地面停车场），由家长接回子女并签退。车上应有专职老师陪同。</w:t>
      </w:r>
    </w:p>
    <w:p w14:paraId="22DF0B55">
      <w:pPr>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outlineLvl w:val="1"/>
        <w:rPr>
          <w:rFonts w:hint="eastAsia" w:ascii="仿宋" w:hAnsi="仿宋" w:eastAsia="仿宋" w:cs="仿宋"/>
          <w:b/>
          <w:bCs/>
          <w:sz w:val="28"/>
          <w:szCs w:val="28"/>
          <w:lang w:val="en-US" w:eastAsia="zh-CN"/>
        </w:rPr>
      </w:pPr>
      <w:bookmarkStart w:id="13" w:name="_Toc926318563"/>
      <w:r>
        <w:rPr>
          <w:rFonts w:hint="eastAsia" w:ascii="仿宋" w:hAnsi="仿宋" w:eastAsia="仿宋" w:cs="仿宋"/>
          <w:b/>
          <w:bCs/>
          <w:sz w:val="28"/>
          <w:szCs w:val="28"/>
          <w:lang w:val="en-US" w:eastAsia="zh-CN"/>
        </w:rPr>
        <w:t>六、用餐安排</w:t>
      </w:r>
      <w:bookmarkEnd w:id="13"/>
    </w:p>
    <w:p w14:paraId="4594C4AF">
      <w:pPr>
        <w:numPr>
          <w:ilvl w:val="0"/>
          <w:numId w:val="0"/>
        </w:numPr>
        <w:adjustRightInd w:val="0"/>
        <w:snapToGrid w:val="0"/>
        <w:spacing w:line="360" w:lineRule="auto"/>
        <w:ind w:leftChars="0" w:firstLine="560" w:firstLineChars="200"/>
        <w:rPr>
          <w:rFonts w:hint="eastAsia" w:ascii="仿宋" w:hAnsi="仿宋" w:eastAsia="仿宋" w:cs="仿宋"/>
          <w:b/>
          <w:bCs w:val="0"/>
          <w:sz w:val="28"/>
          <w:szCs w:val="28"/>
          <w:highlight w:val="none"/>
          <w:lang w:val="en-US" w:eastAsia="zh-CN"/>
        </w:rPr>
      </w:pPr>
      <w:r>
        <w:rPr>
          <w:rFonts w:hint="eastAsia" w:ascii="仿宋" w:hAnsi="仿宋" w:eastAsia="仿宋" w:cs="仿宋"/>
          <w:sz w:val="28"/>
          <w:szCs w:val="28"/>
          <w:lang w:val="en-US" w:eastAsia="zh-CN"/>
        </w:rPr>
        <w:t>供应商提供午餐，午餐按每人每天不超过50元的标准制作供应。对有食物过敏等特殊情况的孩子，另行准备适宜餐食</w:t>
      </w:r>
      <w:r>
        <w:rPr>
          <w:rFonts w:hint="eastAsia" w:ascii="Times New Roman" w:hAnsi="Times New Roman" w:eastAsia="仿宋" w:cs="Times New Roman"/>
          <w:sz w:val="28"/>
          <w:szCs w:val="28"/>
          <w:lang w:val="en-US" w:eastAsia="zh-CN"/>
        </w:rPr>
        <w:t>。</w:t>
      </w:r>
    </w:p>
    <w:p w14:paraId="78A2972D">
      <w:pPr>
        <w:pStyle w:val="19"/>
        <w:widowControl/>
        <w:numPr>
          <w:ilvl w:val="0"/>
          <w:numId w:val="0"/>
        </w:numPr>
        <w:spacing w:line="360" w:lineRule="auto"/>
        <w:ind w:leftChars="0" w:firstLine="562" w:firstLineChars="200"/>
        <w:outlineLvl w:val="1"/>
        <w:rPr>
          <w:rFonts w:hint="eastAsia" w:ascii="仿宋" w:hAnsi="仿宋" w:eastAsia="仿宋" w:cs="仿宋"/>
          <w:b/>
          <w:bCs w:val="0"/>
          <w:sz w:val="28"/>
          <w:szCs w:val="28"/>
          <w:highlight w:val="none"/>
          <w:lang w:val="en-US" w:eastAsia="zh-CN"/>
        </w:rPr>
      </w:pPr>
      <w:bookmarkStart w:id="14" w:name="_Toc256211175"/>
      <w:r>
        <w:rPr>
          <w:rFonts w:hint="eastAsia" w:ascii="仿宋" w:hAnsi="仿宋" w:eastAsia="仿宋" w:cs="仿宋"/>
          <w:b/>
          <w:bCs w:val="0"/>
          <w:sz w:val="28"/>
          <w:szCs w:val="28"/>
          <w:highlight w:val="none"/>
          <w:lang w:val="en-US" w:eastAsia="zh-CN"/>
        </w:rPr>
        <w:t>七、报价、结算与支付要求</w:t>
      </w:r>
      <w:bookmarkEnd w:id="14"/>
    </w:p>
    <w:p w14:paraId="1C823884">
      <w:pPr>
        <w:numPr>
          <w:ilvl w:val="0"/>
          <w:numId w:val="0"/>
        </w:numPr>
        <w:adjustRightInd w:val="0"/>
        <w:snapToGrid w:val="0"/>
        <w:spacing w:line="360" w:lineRule="auto"/>
        <w:ind w:leftChars="0"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w:t>
      </w:r>
      <w:r>
        <w:rPr>
          <w:rFonts w:hint="eastAsia" w:ascii="仿宋" w:hAnsi="仿宋" w:eastAsia="仿宋" w:cs="仿宋"/>
          <w:b w:val="0"/>
          <w:bCs/>
          <w:sz w:val="28"/>
          <w:szCs w:val="28"/>
          <w:highlight w:val="none"/>
        </w:rPr>
        <w:t>本项目的</w:t>
      </w:r>
      <w:r>
        <w:rPr>
          <w:rFonts w:hint="eastAsia" w:ascii="仿宋" w:hAnsi="仿宋" w:eastAsia="仿宋" w:cs="仿宋"/>
          <w:b w:val="0"/>
          <w:bCs/>
          <w:sz w:val="28"/>
          <w:szCs w:val="28"/>
          <w:highlight w:val="none"/>
          <w:lang w:val="en-US" w:eastAsia="zh-CN"/>
        </w:rPr>
        <w:t>含税</w:t>
      </w:r>
      <w:r>
        <w:rPr>
          <w:rFonts w:hint="eastAsia" w:ascii="仿宋" w:hAnsi="仿宋" w:eastAsia="仿宋" w:cs="仿宋"/>
          <w:b w:val="0"/>
          <w:bCs/>
          <w:sz w:val="28"/>
          <w:szCs w:val="28"/>
          <w:highlight w:val="none"/>
          <w:lang w:eastAsia="zh-CN"/>
        </w:rPr>
        <w:t>单</w:t>
      </w:r>
      <w:r>
        <w:rPr>
          <w:rFonts w:hint="eastAsia" w:ascii="仿宋" w:hAnsi="仿宋" w:eastAsia="仿宋" w:cs="仿宋"/>
          <w:b w:val="0"/>
          <w:bCs/>
          <w:sz w:val="28"/>
          <w:szCs w:val="28"/>
          <w:highlight w:val="none"/>
        </w:rPr>
        <w:t>价以“元/</w:t>
      </w:r>
      <w:r>
        <w:rPr>
          <w:rFonts w:hint="eastAsia" w:ascii="仿宋" w:hAnsi="仿宋" w:eastAsia="仿宋" w:cs="仿宋"/>
          <w:b w:val="0"/>
          <w:bCs/>
          <w:sz w:val="28"/>
          <w:szCs w:val="28"/>
          <w:highlight w:val="none"/>
          <w:lang w:eastAsia="zh-CN"/>
        </w:rPr>
        <w:t>每人每天</w:t>
      </w:r>
      <w:r>
        <w:rPr>
          <w:rFonts w:hint="eastAsia" w:ascii="仿宋" w:hAnsi="仿宋" w:eastAsia="仿宋" w:cs="仿宋"/>
          <w:b w:val="0"/>
          <w:bCs/>
          <w:sz w:val="28"/>
          <w:szCs w:val="28"/>
          <w:highlight w:val="none"/>
        </w:rPr>
        <w:t>”为</w:t>
      </w:r>
      <w:r>
        <w:rPr>
          <w:rFonts w:hint="eastAsia" w:ascii="仿宋" w:hAnsi="仿宋" w:eastAsia="仿宋" w:cs="仿宋"/>
          <w:b w:val="0"/>
          <w:bCs/>
          <w:sz w:val="28"/>
          <w:szCs w:val="28"/>
          <w:highlight w:val="none"/>
          <w:lang w:eastAsia="zh-CN"/>
        </w:rPr>
        <w:t>费用标准</w:t>
      </w:r>
      <w:r>
        <w:rPr>
          <w:rFonts w:hint="eastAsia" w:ascii="仿宋" w:hAnsi="仿宋" w:eastAsia="仿宋" w:cs="仿宋"/>
          <w:b w:val="0"/>
          <w:bCs/>
          <w:sz w:val="28"/>
          <w:szCs w:val="28"/>
          <w:highlight w:val="none"/>
        </w:rPr>
        <w:t>，报价内容包括托管照看、学业辅导、</w:t>
      </w:r>
      <w:r>
        <w:rPr>
          <w:rFonts w:hint="eastAsia" w:ascii="仿宋" w:hAnsi="仿宋" w:eastAsia="仿宋" w:cs="仿宋"/>
          <w:b w:val="0"/>
          <w:bCs/>
          <w:sz w:val="28"/>
          <w:szCs w:val="28"/>
          <w:highlight w:val="none"/>
          <w:lang w:eastAsia="zh-CN"/>
        </w:rPr>
        <w:t>体育锻炼、课外拓展、</w:t>
      </w:r>
      <w:r>
        <w:rPr>
          <w:rFonts w:hint="eastAsia" w:ascii="仿宋" w:hAnsi="仿宋" w:eastAsia="仿宋" w:cs="仿宋"/>
          <w:b w:val="0"/>
          <w:bCs/>
          <w:sz w:val="28"/>
          <w:szCs w:val="28"/>
          <w:highlight w:val="none"/>
        </w:rPr>
        <w:t>班车接送</w:t>
      </w:r>
      <w:r>
        <w:rPr>
          <w:rFonts w:hint="eastAsia" w:ascii="仿宋" w:hAnsi="仿宋" w:eastAsia="仿宋" w:cs="仿宋"/>
          <w:b w:val="0"/>
          <w:bCs/>
          <w:sz w:val="28"/>
          <w:szCs w:val="28"/>
          <w:highlight w:val="none"/>
          <w:lang w:eastAsia="zh-CN"/>
        </w:rPr>
        <w:t>、意外险</w:t>
      </w:r>
      <w:r>
        <w:rPr>
          <w:rFonts w:hint="eastAsia" w:ascii="仿宋" w:hAnsi="仿宋" w:eastAsia="仿宋" w:cs="仿宋"/>
          <w:b w:val="0"/>
          <w:bCs/>
          <w:sz w:val="28"/>
          <w:szCs w:val="28"/>
          <w:highlight w:val="none"/>
        </w:rPr>
        <w:t>等</w:t>
      </w:r>
      <w:r>
        <w:rPr>
          <w:rFonts w:hint="eastAsia" w:ascii="仿宋" w:hAnsi="仿宋" w:eastAsia="仿宋" w:cs="仿宋"/>
          <w:b w:val="0"/>
          <w:bCs/>
          <w:sz w:val="28"/>
          <w:szCs w:val="28"/>
          <w:highlight w:val="none"/>
          <w:lang w:eastAsia="zh-CN"/>
        </w:rPr>
        <w:t>托管期间的全部</w:t>
      </w:r>
      <w:r>
        <w:rPr>
          <w:rFonts w:hint="eastAsia" w:ascii="仿宋" w:hAnsi="仿宋" w:eastAsia="仿宋" w:cs="仿宋"/>
          <w:b w:val="0"/>
          <w:bCs/>
          <w:sz w:val="28"/>
          <w:szCs w:val="28"/>
          <w:highlight w:val="none"/>
        </w:rPr>
        <w:t>服务</w:t>
      </w:r>
      <w:r>
        <w:rPr>
          <w:rFonts w:hint="eastAsia" w:ascii="仿宋" w:hAnsi="仿宋" w:eastAsia="仿宋" w:cs="仿宋"/>
          <w:b w:val="0"/>
          <w:bCs/>
          <w:sz w:val="28"/>
          <w:szCs w:val="28"/>
          <w:highlight w:val="none"/>
          <w:lang w:eastAsia="zh-CN"/>
        </w:rPr>
        <w:t>费用以及餐饮费用（报价应包括场地、</w:t>
      </w:r>
      <w:r>
        <w:rPr>
          <w:rFonts w:hint="eastAsia" w:ascii="仿宋" w:hAnsi="仿宋" w:eastAsia="仿宋" w:cs="仿宋"/>
          <w:b w:val="0"/>
          <w:bCs/>
          <w:sz w:val="28"/>
          <w:szCs w:val="28"/>
          <w:highlight w:val="none"/>
          <w:lang w:val="en-US" w:eastAsia="zh-CN"/>
        </w:rPr>
        <w:t>税金</w:t>
      </w:r>
      <w:r>
        <w:rPr>
          <w:rFonts w:hint="eastAsia" w:ascii="仿宋" w:hAnsi="仿宋" w:eastAsia="仿宋" w:cs="仿宋"/>
          <w:b w:val="0"/>
          <w:bCs/>
          <w:sz w:val="28"/>
          <w:szCs w:val="28"/>
          <w:highlight w:val="none"/>
        </w:rPr>
        <w:t>等所有相关费用</w:t>
      </w:r>
      <w:r>
        <w:rPr>
          <w:rFonts w:hint="eastAsia" w:ascii="仿宋" w:hAnsi="仿宋" w:eastAsia="仿宋" w:cs="仿宋"/>
          <w:b w:val="0"/>
          <w:bCs/>
          <w:sz w:val="28"/>
          <w:szCs w:val="28"/>
          <w:highlight w:val="none"/>
          <w:lang w:eastAsia="zh-CN"/>
        </w:rPr>
        <w:t>）</w:t>
      </w:r>
      <w:r>
        <w:rPr>
          <w:rFonts w:hint="eastAsia" w:ascii="仿宋" w:hAnsi="仿宋" w:eastAsia="仿宋" w:cs="仿宋"/>
          <w:b w:val="0"/>
          <w:bCs/>
          <w:sz w:val="28"/>
          <w:szCs w:val="28"/>
          <w:highlight w:val="none"/>
        </w:rPr>
        <w:t>。</w:t>
      </w:r>
      <w:r>
        <w:rPr>
          <w:rFonts w:hint="eastAsia" w:ascii="仿宋" w:hAnsi="仿宋" w:eastAsia="仿宋" w:cs="仿宋"/>
          <w:b w:val="0"/>
          <w:bCs/>
          <w:sz w:val="28"/>
          <w:szCs w:val="28"/>
          <w:highlight w:val="none"/>
          <w:lang w:val="en-US" w:eastAsia="zh-CN"/>
        </w:rPr>
        <w:t xml:space="preserve"> </w:t>
      </w:r>
    </w:p>
    <w:p w14:paraId="246DA3E4">
      <w:pPr>
        <w:numPr>
          <w:ilvl w:val="-1"/>
          <w:numId w:val="0"/>
        </w:numPr>
        <w:adjustRightInd w:val="0"/>
        <w:snapToGrid w:val="0"/>
        <w:spacing w:line="360" w:lineRule="auto"/>
        <w:ind w:left="0" w:firstLine="560" w:firstLineChars="200"/>
        <w:rPr>
          <w:rFonts w:hint="eastAsia" w:ascii="仿宋" w:hAnsi="仿宋" w:eastAsia="仿宋" w:cs="仿宋"/>
          <w:b w:val="0"/>
          <w:bCs/>
          <w:color w:val="000000"/>
          <w:sz w:val="28"/>
          <w:szCs w:val="28"/>
          <w:highlight w:val="none"/>
          <w:shd w:val="clear" w:color="auto" w:fill="FFFFFF"/>
        </w:rPr>
      </w:pPr>
      <w:r>
        <w:rPr>
          <w:rFonts w:hint="eastAsia" w:ascii="仿宋" w:hAnsi="仿宋" w:eastAsia="仿宋" w:cs="仿宋"/>
          <w:b w:val="0"/>
          <w:bCs/>
          <w:sz w:val="28"/>
          <w:szCs w:val="28"/>
          <w:highlight w:val="none"/>
          <w:lang w:val="en-US" w:eastAsia="zh-CN"/>
        </w:rPr>
        <w:t>2.报价</w:t>
      </w:r>
      <w:r>
        <w:rPr>
          <w:rFonts w:hint="eastAsia" w:ascii="仿宋" w:hAnsi="仿宋" w:eastAsia="仿宋" w:cs="仿宋"/>
          <w:b w:val="0"/>
          <w:bCs/>
          <w:sz w:val="28"/>
          <w:szCs w:val="28"/>
          <w:highlight w:val="none"/>
        </w:rPr>
        <w:t>限价：不得超过</w:t>
      </w:r>
      <w:r>
        <w:rPr>
          <w:rFonts w:hint="eastAsia" w:ascii="仿宋" w:hAnsi="仿宋" w:eastAsia="仿宋" w:cs="仿宋"/>
          <w:b w:val="0"/>
          <w:bCs/>
          <w:sz w:val="28"/>
          <w:szCs w:val="28"/>
          <w:highlight w:val="none"/>
          <w:lang w:val="en-US" w:eastAsia="zh-CN"/>
        </w:rPr>
        <w:t>350元</w:t>
      </w:r>
      <w:r>
        <w:rPr>
          <w:rFonts w:hint="eastAsia" w:ascii="仿宋" w:hAnsi="仿宋" w:eastAsia="仿宋" w:cs="仿宋"/>
          <w:b w:val="0"/>
          <w:bCs/>
          <w:sz w:val="28"/>
          <w:szCs w:val="28"/>
          <w:highlight w:val="none"/>
        </w:rPr>
        <w:t>/</w:t>
      </w:r>
      <w:r>
        <w:rPr>
          <w:rFonts w:hint="eastAsia" w:ascii="仿宋" w:hAnsi="仿宋" w:eastAsia="仿宋" w:cs="仿宋"/>
          <w:b w:val="0"/>
          <w:bCs/>
          <w:sz w:val="28"/>
          <w:szCs w:val="28"/>
          <w:highlight w:val="none"/>
          <w:lang w:eastAsia="zh-CN"/>
        </w:rPr>
        <w:t>每人每天</w:t>
      </w:r>
      <w:r>
        <w:rPr>
          <w:rFonts w:hint="eastAsia" w:ascii="仿宋" w:hAnsi="仿宋" w:eastAsia="仿宋" w:cs="仿宋"/>
          <w:b w:val="0"/>
          <w:bCs/>
          <w:sz w:val="28"/>
          <w:szCs w:val="28"/>
          <w:highlight w:val="none"/>
          <w:lang w:val="en-US" w:eastAsia="zh-CN"/>
        </w:rPr>
        <w:t>,其中午餐费报价单列，不得超过50元</w:t>
      </w:r>
      <w:r>
        <w:rPr>
          <w:rFonts w:hint="eastAsia" w:ascii="仿宋" w:hAnsi="仿宋" w:eastAsia="仿宋" w:cs="仿宋"/>
          <w:b w:val="0"/>
          <w:bCs/>
          <w:sz w:val="28"/>
          <w:szCs w:val="28"/>
          <w:highlight w:val="none"/>
        </w:rPr>
        <w:t>/</w:t>
      </w:r>
      <w:r>
        <w:rPr>
          <w:rFonts w:hint="eastAsia" w:ascii="仿宋" w:hAnsi="仿宋" w:eastAsia="仿宋" w:cs="仿宋"/>
          <w:b w:val="0"/>
          <w:bCs/>
          <w:sz w:val="28"/>
          <w:szCs w:val="28"/>
          <w:highlight w:val="none"/>
          <w:lang w:eastAsia="zh-CN"/>
        </w:rPr>
        <w:t>每人每天。</w:t>
      </w:r>
    </w:p>
    <w:p w14:paraId="5E214CAF">
      <w:pPr>
        <w:numPr>
          <w:ilvl w:val="0"/>
          <w:numId w:val="0"/>
        </w:numPr>
        <w:adjustRightInd w:val="0"/>
        <w:snapToGrid w:val="0"/>
        <w:spacing w:line="360" w:lineRule="auto"/>
        <w:ind w:leftChars="0" w:firstLine="560" w:firstLineChars="200"/>
        <w:rPr>
          <w:rFonts w:hint="eastAsia" w:ascii="仿宋" w:hAnsi="仿宋" w:eastAsia="仿宋" w:cs="仿宋"/>
          <w:b w:val="0"/>
          <w:bCs/>
          <w:color w:val="000000"/>
          <w:sz w:val="28"/>
          <w:szCs w:val="28"/>
          <w:highlight w:val="none"/>
          <w:shd w:val="clear" w:color="auto" w:fill="FFFFFF"/>
        </w:rPr>
      </w:pPr>
      <w:r>
        <w:rPr>
          <w:rFonts w:hint="eastAsia" w:ascii="仿宋" w:hAnsi="仿宋" w:eastAsia="仿宋" w:cs="仿宋"/>
          <w:b w:val="0"/>
          <w:bCs/>
          <w:color w:val="000000"/>
          <w:sz w:val="28"/>
          <w:szCs w:val="28"/>
          <w:highlight w:val="none"/>
          <w:shd w:val="clear" w:color="auto" w:fill="FFFFFF"/>
          <w:lang w:val="en-US" w:eastAsia="zh-CN"/>
        </w:rPr>
        <w:t>3.</w:t>
      </w:r>
      <w:r>
        <w:rPr>
          <w:rFonts w:hint="eastAsia" w:ascii="仿宋" w:hAnsi="仿宋" w:eastAsia="仿宋" w:cs="仿宋"/>
          <w:b w:val="0"/>
          <w:bCs/>
          <w:color w:val="000000"/>
          <w:sz w:val="28"/>
          <w:szCs w:val="28"/>
          <w:highlight w:val="none"/>
          <w:shd w:val="clear" w:color="auto" w:fill="FFFFFF"/>
        </w:rPr>
        <w:t>除上述费用外，为响应本项目服务要求，</w:t>
      </w:r>
      <w:r>
        <w:rPr>
          <w:rFonts w:hint="eastAsia" w:ascii="仿宋" w:hAnsi="仿宋" w:eastAsia="仿宋" w:cs="仿宋"/>
          <w:b w:val="0"/>
          <w:bCs/>
          <w:color w:val="000000"/>
          <w:sz w:val="28"/>
          <w:szCs w:val="28"/>
          <w:highlight w:val="none"/>
          <w:shd w:val="clear" w:color="auto" w:fill="FFFFFF"/>
          <w:lang w:eastAsia="zh-CN"/>
        </w:rPr>
        <w:t>供应商</w:t>
      </w:r>
      <w:r>
        <w:rPr>
          <w:rFonts w:hint="eastAsia" w:ascii="仿宋" w:hAnsi="仿宋" w:eastAsia="仿宋" w:cs="仿宋"/>
          <w:b w:val="0"/>
          <w:bCs/>
          <w:color w:val="000000"/>
          <w:sz w:val="28"/>
          <w:szCs w:val="28"/>
          <w:highlight w:val="none"/>
          <w:shd w:val="clear" w:color="auto" w:fill="FFFFFF"/>
        </w:rPr>
        <w:t>认为还需其他费用的，可以列入</w:t>
      </w:r>
      <w:r>
        <w:rPr>
          <w:rFonts w:hint="eastAsia" w:ascii="仿宋" w:hAnsi="仿宋" w:eastAsia="仿宋" w:cs="仿宋"/>
          <w:b w:val="0"/>
          <w:bCs/>
          <w:color w:val="000000"/>
          <w:sz w:val="28"/>
          <w:szCs w:val="28"/>
          <w:highlight w:val="none"/>
          <w:shd w:val="clear" w:color="auto" w:fill="FFFFFF"/>
          <w:lang w:val="en-US" w:eastAsia="zh-CN"/>
        </w:rPr>
        <w:t>服务</w:t>
      </w:r>
      <w:r>
        <w:rPr>
          <w:rFonts w:hint="eastAsia" w:ascii="仿宋" w:hAnsi="仿宋" w:eastAsia="仿宋" w:cs="仿宋"/>
          <w:b w:val="0"/>
          <w:bCs/>
          <w:color w:val="000000"/>
          <w:sz w:val="28"/>
          <w:szCs w:val="28"/>
          <w:highlight w:val="none"/>
          <w:shd w:val="clear" w:color="auto" w:fill="FFFFFF"/>
        </w:rPr>
        <w:t>报价中并详细列出明细。</w:t>
      </w:r>
    </w:p>
    <w:p w14:paraId="28F6A1B6">
      <w:pPr>
        <w:adjustRightInd w:val="0"/>
        <w:snapToGrid w:val="0"/>
        <w:spacing w:line="360" w:lineRule="auto"/>
        <w:ind w:firstLine="560"/>
        <w:rPr>
          <w:rFonts w:hint="eastAsia" w:ascii="仿宋" w:hAnsi="仿宋" w:eastAsia="仿宋" w:cs="仿宋"/>
          <w:bCs/>
          <w:color w:val="000000"/>
          <w:kern w:val="2"/>
          <w:sz w:val="28"/>
          <w:szCs w:val="28"/>
          <w:highlight w:val="none"/>
          <w:shd w:val="clear" w:color="auto" w:fill="FFFFFF"/>
          <w:lang w:val="en-US" w:eastAsia="zh-CN" w:bidi="ar"/>
        </w:rPr>
      </w:pPr>
      <w:r>
        <w:rPr>
          <w:rFonts w:hint="eastAsia" w:ascii="仿宋" w:hAnsi="仿宋" w:eastAsia="仿宋" w:cs="仿宋"/>
          <w:bCs/>
          <w:color w:val="000000"/>
          <w:kern w:val="2"/>
          <w:sz w:val="28"/>
          <w:szCs w:val="28"/>
          <w:highlight w:val="none"/>
          <w:shd w:val="clear" w:color="auto" w:fill="FFFFFF"/>
          <w:lang w:val="en-US" w:eastAsia="zh-CN" w:bidi="ar"/>
        </w:rPr>
        <w:t>4.供应商应根据每期实际参与人数和费用标准，据实结算费用。预计参与人数：10-20人。</w:t>
      </w:r>
    </w:p>
    <w:p w14:paraId="5DBC6239">
      <w:pPr>
        <w:adjustRightInd w:val="0"/>
        <w:snapToGrid w:val="0"/>
        <w:spacing w:line="360" w:lineRule="auto"/>
        <w:ind w:firstLine="560"/>
        <w:rPr>
          <w:rFonts w:hint="eastAsia" w:ascii="仿宋" w:hAnsi="仿宋" w:eastAsia="仿宋" w:cs="仿宋"/>
          <w:bCs/>
          <w:color w:val="000000"/>
          <w:kern w:val="2"/>
          <w:sz w:val="28"/>
          <w:szCs w:val="28"/>
          <w:highlight w:val="none"/>
          <w:shd w:val="clear" w:color="auto" w:fill="FFFFFF"/>
          <w:lang w:val="en-US" w:eastAsia="zh-CN" w:bidi="ar"/>
        </w:rPr>
      </w:pPr>
      <w:r>
        <w:rPr>
          <w:rFonts w:hint="eastAsia" w:ascii="仿宋" w:hAnsi="仿宋" w:eastAsia="仿宋" w:cs="仿宋"/>
          <w:bCs/>
          <w:color w:val="000000"/>
          <w:kern w:val="2"/>
          <w:sz w:val="28"/>
          <w:szCs w:val="28"/>
          <w:highlight w:val="none"/>
          <w:shd w:val="clear" w:color="auto" w:fill="FFFFFF"/>
          <w:lang w:val="en-US" w:eastAsia="zh-CN" w:bidi="ar"/>
        </w:rPr>
        <w:t>5.费用支付方式：由</w:t>
      </w:r>
      <w:r>
        <w:rPr>
          <w:rFonts w:hint="eastAsia" w:ascii="Times New Roman" w:hAnsi="Times New Roman" w:eastAsia="仿宋" w:cs="Times New Roman"/>
          <w:sz w:val="28"/>
          <w:szCs w:val="28"/>
          <w:lang w:val="en-US" w:eastAsia="zh-CN"/>
        </w:rPr>
        <w:t>采购人</w:t>
      </w:r>
      <w:r>
        <w:rPr>
          <w:rFonts w:hint="eastAsia" w:ascii="仿宋" w:hAnsi="仿宋" w:eastAsia="仿宋" w:cs="仿宋"/>
          <w:bCs/>
          <w:color w:val="000000"/>
          <w:kern w:val="2"/>
          <w:sz w:val="28"/>
          <w:szCs w:val="28"/>
          <w:highlight w:val="none"/>
          <w:shd w:val="clear" w:color="auto" w:fill="FFFFFF"/>
          <w:lang w:val="en-US" w:eastAsia="zh-CN" w:bidi="ar"/>
        </w:rPr>
        <w:t>、采购人的职工分别与供应商签署合同，分别向供应商支付各自承担的费用。</w:t>
      </w:r>
    </w:p>
    <w:p w14:paraId="57533CFF">
      <w:pPr>
        <w:pStyle w:val="19"/>
        <w:widowControl/>
        <w:numPr>
          <w:ilvl w:val="0"/>
          <w:numId w:val="0"/>
        </w:numPr>
        <w:spacing w:line="360" w:lineRule="auto"/>
        <w:ind w:leftChars="0" w:firstLine="562" w:firstLineChars="200"/>
        <w:outlineLvl w:val="1"/>
        <w:rPr>
          <w:rFonts w:hint="eastAsia" w:ascii="仿宋" w:hAnsi="仿宋" w:eastAsia="仿宋" w:cs="仿宋"/>
          <w:b/>
          <w:bCs w:val="0"/>
          <w:sz w:val="28"/>
          <w:szCs w:val="28"/>
          <w:highlight w:val="none"/>
          <w:lang w:val="en-US" w:eastAsia="zh-CN"/>
        </w:rPr>
      </w:pPr>
      <w:bookmarkStart w:id="15" w:name="_Toc1067383907"/>
      <w:r>
        <w:rPr>
          <w:rFonts w:hint="eastAsia" w:ascii="仿宋" w:hAnsi="仿宋" w:eastAsia="仿宋" w:cs="仿宋"/>
          <w:b/>
          <w:bCs w:val="0"/>
          <w:sz w:val="28"/>
          <w:szCs w:val="28"/>
          <w:highlight w:val="none"/>
          <w:lang w:val="en-US" w:eastAsia="zh-CN"/>
        </w:rPr>
        <w:t>八、其他要求</w:t>
      </w:r>
      <w:bookmarkEnd w:id="15"/>
    </w:p>
    <w:p w14:paraId="628BF4A2">
      <w:pPr>
        <w:pageBreakBefore w:val="0"/>
        <w:widowControl/>
        <w:numPr>
          <w:ilvl w:val="-1"/>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供应商应制定严格的安全管理制度和应急预案，确保在火灾、意外事故等突发情况下迅速响应，保障托管对象人身安全；配备急救药箱，做好传染病防控；随时关注托管对象身体情况，对突发伤病及时采取急救措施，保证在第一时间送到医院，并及时通知</w:t>
      </w:r>
      <w:r>
        <w:rPr>
          <w:rFonts w:hint="eastAsia" w:ascii="Times New Roman" w:hAnsi="Times New Roman" w:eastAsia="仿宋" w:cs="Times New Roman"/>
          <w:sz w:val="28"/>
          <w:szCs w:val="28"/>
          <w:lang w:val="en-US" w:eastAsia="zh-CN"/>
        </w:rPr>
        <w:t>托管对象的家长</w:t>
      </w:r>
      <w:r>
        <w:rPr>
          <w:rFonts w:hint="eastAsia" w:ascii="仿宋" w:hAnsi="仿宋" w:eastAsia="仿宋" w:cs="仿宋"/>
          <w:bCs/>
          <w:sz w:val="28"/>
          <w:szCs w:val="28"/>
          <w:highlight w:val="none"/>
          <w:lang w:val="en-US" w:eastAsia="zh-CN"/>
        </w:rPr>
        <w:t>。</w:t>
      </w:r>
    </w:p>
    <w:p w14:paraId="67423785">
      <w:pPr>
        <w:pageBreakBefore w:val="0"/>
        <w:widowControl/>
        <w:numPr>
          <w:ilvl w:val="-1"/>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2.供应商应保证在托管场所配备监控设备，对教室内的活动进行全程记录，并确保记录的完整性与清晰度，以供发生争议或纠纷时随时调阅回放备查。</w:t>
      </w:r>
    </w:p>
    <w:p w14:paraId="5D517116">
      <w:pPr>
        <w:pageBreakBefore w:val="0"/>
        <w:widowControl/>
        <w:numPr>
          <w:ilvl w:val="-1"/>
          <w:numId w:val="0"/>
        </w:numPr>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3.供应商应为参加暑托班的学生投保意外伤害保险。保险期覆盖整个服务周期，确保暑托班开班至结班结束的所有接送、活动及托管全程均在保障范围内。</w:t>
      </w:r>
    </w:p>
    <w:p w14:paraId="7BAA112F">
      <w:pPr>
        <w:pageBreakBefore w:val="0"/>
        <w:widowControl/>
        <w:numPr>
          <w:ilvl w:val="-1"/>
          <w:numId w:val="0"/>
        </w:numPr>
        <w:kinsoku/>
        <w:wordWrap/>
        <w:overflowPunct/>
        <w:topLinePunct w:val="0"/>
        <w:autoSpaceDE/>
        <w:autoSpaceDN/>
        <w:bidi w:val="0"/>
        <w:adjustRightInd w:val="0"/>
        <w:snapToGrid w:val="0"/>
        <w:spacing w:line="360" w:lineRule="auto"/>
        <w:ind w:firstLine="560" w:firstLineChars="200"/>
        <w:textAlignment w:val="auto"/>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4.</w:t>
      </w:r>
      <w:r>
        <w:rPr>
          <w:rFonts w:hint="eastAsia" w:ascii="Times New Roman" w:hAnsi="Times New Roman" w:eastAsia="仿宋" w:cs="Times New Roman"/>
          <w:sz w:val="28"/>
          <w:szCs w:val="28"/>
          <w:lang w:val="en-US" w:eastAsia="zh-CN"/>
        </w:rPr>
        <w:t>采购人</w:t>
      </w:r>
      <w:r>
        <w:rPr>
          <w:rFonts w:hint="default" w:ascii="仿宋" w:hAnsi="仿宋" w:eastAsia="仿宋" w:cs="仿宋"/>
          <w:bCs/>
          <w:sz w:val="28"/>
          <w:szCs w:val="28"/>
          <w:highlight w:val="none"/>
          <w:lang w:val="en-US" w:eastAsia="zh-CN"/>
        </w:rPr>
        <w:t>享有知情权和审查权，有权在项目实施过程中对项目实施情况进行检查并指导，项目结束后组织进行满意度评估和项目验收。</w:t>
      </w:r>
      <w:r>
        <w:rPr>
          <w:rFonts w:hint="eastAsia" w:ascii="仿宋" w:hAnsi="仿宋" w:eastAsia="仿宋" w:cs="仿宋"/>
          <w:bCs/>
          <w:sz w:val="28"/>
          <w:szCs w:val="28"/>
          <w:highlight w:val="none"/>
          <w:lang w:val="en-US" w:eastAsia="zh-CN"/>
        </w:rPr>
        <w:t>供应商应配合提供</w:t>
      </w:r>
      <w:r>
        <w:rPr>
          <w:rFonts w:hint="default" w:ascii="仿宋" w:hAnsi="仿宋" w:eastAsia="仿宋" w:cs="仿宋"/>
          <w:bCs/>
          <w:sz w:val="28"/>
          <w:szCs w:val="28"/>
          <w:highlight w:val="none"/>
          <w:lang w:val="en-US" w:eastAsia="zh-CN"/>
        </w:rPr>
        <w:t>验收内容</w:t>
      </w:r>
      <w:r>
        <w:rPr>
          <w:rFonts w:hint="eastAsia" w:ascii="仿宋" w:hAnsi="仿宋" w:eastAsia="仿宋" w:cs="仿宋"/>
          <w:bCs/>
          <w:sz w:val="28"/>
          <w:szCs w:val="28"/>
          <w:highlight w:val="none"/>
          <w:lang w:val="en-US" w:eastAsia="zh-CN"/>
        </w:rPr>
        <w:t>，包括</w:t>
      </w:r>
      <w:r>
        <w:rPr>
          <w:rFonts w:hint="default" w:ascii="仿宋" w:hAnsi="仿宋" w:eastAsia="仿宋" w:cs="仿宋"/>
          <w:bCs/>
          <w:sz w:val="28"/>
          <w:szCs w:val="28"/>
          <w:highlight w:val="none"/>
          <w:lang w:val="en-US" w:eastAsia="zh-CN"/>
        </w:rPr>
        <w:t>：证明费用使用情况的材料，托管期间的照片、视频材料，职工满意度调查表等。验收</w:t>
      </w:r>
      <w:r>
        <w:rPr>
          <w:rFonts w:hint="eastAsia" w:ascii="仿宋" w:hAnsi="仿宋" w:eastAsia="仿宋" w:cs="仿宋"/>
          <w:bCs/>
          <w:sz w:val="28"/>
          <w:szCs w:val="28"/>
          <w:highlight w:val="none"/>
          <w:lang w:val="en-US" w:eastAsia="zh-CN"/>
        </w:rPr>
        <w:t>标准包括材料齐备、无重大安全责任事故、满意度等。</w:t>
      </w:r>
    </w:p>
    <w:p w14:paraId="25484452">
      <w:pPr>
        <w:adjustRightInd w:val="0"/>
        <w:snapToGrid w:val="0"/>
        <w:spacing w:line="360" w:lineRule="auto"/>
        <w:rPr>
          <w:rFonts w:hint="eastAsia" w:ascii="仿宋" w:hAnsi="仿宋" w:eastAsia="仿宋" w:cs="仿宋"/>
          <w:b w:val="0"/>
          <w:bCs/>
          <w:sz w:val="28"/>
          <w:szCs w:val="28"/>
          <w:highlight w:val="none"/>
          <w:lang w:eastAsia="zh-CN"/>
        </w:rPr>
      </w:pPr>
    </w:p>
    <w:p w14:paraId="45E55708">
      <w:pPr>
        <w:pStyle w:val="19"/>
        <w:widowControl/>
        <w:numPr>
          <w:ilvl w:val="0"/>
          <w:numId w:val="1"/>
        </w:numPr>
        <w:ind w:firstLineChars="0"/>
        <w:jc w:val="center"/>
        <w:outlineLvl w:val="0"/>
        <w:rPr>
          <w:rFonts w:ascii="仿宋_GB2312" w:hAnsi="黑体" w:eastAsia="仿宋_GB2312"/>
          <w:b/>
          <w:sz w:val="28"/>
          <w:szCs w:val="28"/>
          <w:highlight w:val="none"/>
        </w:rPr>
      </w:pPr>
      <w:bookmarkStart w:id="16" w:name="_Toc1879980519"/>
      <w:r>
        <w:rPr>
          <w:rFonts w:hint="eastAsia" w:ascii="仿宋_GB2312" w:hAnsi="黑体" w:eastAsia="仿宋_GB2312"/>
          <w:b/>
          <w:sz w:val="28"/>
          <w:szCs w:val="28"/>
          <w:highlight w:val="none"/>
        </w:rPr>
        <w:t>供应商须知</w:t>
      </w:r>
      <w:bookmarkEnd w:id="16"/>
    </w:p>
    <w:p w14:paraId="6D1F68C2">
      <w:pPr>
        <w:pStyle w:val="19"/>
        <w:widowControl/>
        <w:numPr>
          <w:ilvl w:val="0"/>
          <w:numId w:val="0"/>
        </w:numPr>
        <w:ind w:leftChars="0"/>
        <w:jc w:val="both"/>
        <w:outlineLvl w:val="0"/>
        <w:rPr>
          <w:rFonts w:ascii="仿宋_GB2312" w:hAnsi="黑体" w:eastAsia="仿宋_GB2312"/>
          <w:b/>
          <w:sz w:val="28"/>
          <w:szCs w:val="28"/>
          <w:highlight w:val="none"/>
        </w:rPr>
      </w:pPr>
    </w:p>
    <w:p w14:paraId="1031D268">
      <w:pPr>
        <w:pStyle w:val="19"/>
        <w:widowControl/>
        <w:numPr>
          <w:ilvl w:val="0"/>
          <w:numId w:val="5"/>
        </w:numPr>
        <w:ind w:firstLineChars="0"/>
        <w:outlineLvl w:val="1"/>
        <w:rPr>
          <w:rFonts w:hint="eastAsia" w:ascii="仿宋_GB2312" w:hAnsi="黑体" w:eastAsia="仿宋_GB2312"/>
          <w:b/>
          <w:bCs/>
          <w:sz w:val="28"/>
          <w:szCs w:val="28"/>
          <w:highlight w:val="none"/>
        </w:rPr>
      </w:pPr>
      <w:bookmarkStart w:id="17" w:name="_Toc243942474"/>
      <w:r>
        <w:rPr>
          <w:rFonts w:hint="eastAsia" w:ascii="仿宋_GB2312" w:hAnsi="黑体" w:eastAsia="仿宋_GB2312"/>
          <w:b/>
          <w:bCs/>
          <w:sz w:val="28"/>
          <w:szCs w:val="28"/>
          <w:highlight w:val="none"/>
        </w:rPr>
        <w:t>供应商资格</w:t>
      </w:r>
      <w:bookmarkEnd w:id="17"/>
    </w:p>
    <w:p w14:paraId="4E776A39">
      <w:pPr>
        <w:pStyle w:val="19"/>
        <w:widowControl/>
        <w:numPr>
          <w:ilvl w:val="0"/>
          <w:numId w:val="6"/>
        </w:numPr>
        <w:spacing w:line="600" w:lineRule="exact"/>
        <w:ind w:left="0" w:firstLine="0" w:firstLineChars="0"/>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rPr>
        <w:t>具有独立法人资格，提供有效期内的</w:t>
      </w:r>
      <w:r>
        <w:rPr>
          <w:rFonts w:hint="eastAsia" w:ascii="仿宋_GB2312" w:hAnsi="黑体" w:eastAsia="仿宋_GB2312"/>
          <w:sz w:val="28"/>
          <w:szCs w:val="28"/>
          <w:highlight w:val="none"/>
          <w:lang w:val="en-US" w:eastAsia="zh-CN"/>
        </w:rPr>
        <w:t>加盖公章的</w:t>
      </w:r>
      <w:r>
        <w:rPr>
          <w:rFonts w:hint="eastAsia" w:ascii="仿宋_GB2312" w:hAnsi="黑体" w:eastAsia="仿宋_GB2312"/>
          <w:sz w:val="28"/>
          <w:szCs w:val="28"/>
          <w:highlight w:val="none"/>
        </w:rPr>
        <w:t>营业执照</w:t>
      </w:r>
      <w:r>
        <w:rPr>
          <w:rFonts w:hint="eastAsia" w:ascii="仿宋_GB2312" w:hAnsi="黑体" w:eastAsia="仿宋_GB2312"/>
          <w:sz w:val="28"/>
          <w:szCs w:val="28"/>
          <w:highlight w:val="none"/>
          <w:lang w:val="en-US" w:eastAsia="zh-CN"/>
        </w:rPr>
        <w:t>复印件。</w:t>
      </w:r>
    </w:p>
    <w:p w14:paraId="4356863E">
      <w:pPr>
        <w:pStyle w:val="19"/>
        <w:widowControl/>
        <w:numPr>
          <w:ilvl w:val="0"/>
          <w:numId w:val="6"/>
        </w:numPr>
        <w:spacing w:line="600" w:lineRule="exact"/>
        <w:ind w:left="0" w:firstLine="0" w:firstLineChars="0"/>
        <w:rPr>
          <w:rFonts w:hint="eastAsia" w:ascii="仿宋_GB2312" w:hAnsi="黑体" w:eastAsia="仿宋_GB2312"/>
          <w:sz w:val="28"/>
          <w:szCs w:val="28"/>
          <w:highlight w:val="none"/>
          <w:lang w:eastAsia="zh-CN"/>
        </w:rPr>
      </w:pPr>
      <w:r>
        <w:rPr>
          <w:rFonts w:hint="eastAsia" w:ascii="仿宋_GB2312" w:hAnsi="黑体" w:eastAsia="仿宋_GB2312" w:cstheme="minorBidi"/>
          <w:sz w:val="28"/>
          <w:szCs w:val="28"/>
          <w:highlight w:val="none"/>
          <w:lang w:val="en-US" w:eastAsia="zh-CN"/>
        </w:rPr>
        <w:t>参加本次采购活动前3年内，在经营活动中没有重大违法记录（是指因违法经营受到刑事处罚或者责令停产停业、吊销许可证或者执照、较大数额等行政罚款）</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rPr>
        <w:t>出具声明函，声明函内容包括以上内容，格式自拟，需加盖单位公章</w:t>
      </w:r>
      <w:r>
        <w:rPr>
          <w:rFonts w:hint="eastAsia" w:ascii="仿宋_GB2312" w:hAnsi="黑体" w:eastAsia="仿宋_GB2312"/>
          <w:sz w:val="28"/>
          <w:szCs w:val="28"/>
          <w:highlight w:val="none"/>
          <w:lang w:eastAsia="zh-CN"/>
        </w:rPr>
        <w:t>）。</w:t>
      </w:r>
    </w:p>
    <w:p w14:paraId="57571AF0">
      <w:pPr>
        <w:pStyle w:val="19"/>
        <w:widowControl/>
        <w:numPr>
          <w:ilvl w:val="0"/>
          <w:numId w:val="6"/>
        </w:numPr>
        <w:spacing w:line="600" w:lineRule="exact"/>
        <w:ind w:left="0" w:firstLine="0" w:firstLineChars="0"/>
        <w:rPr>
          <w:rFonts w:hint="eastAsia" w:ascii="仿宋_GB2312" w:hAnsi="黑体" w:eastAsia="仿宋_GB2312"/>
          <w:sz w:val="28"/>
          <w:szCs w:val="28"/>
          <w:highlight w:val="none"/>
          <w:lang w:eastAsia="zh-CN"/>
        </w:rPr>
      </w:pPr>
      <w:r>
        <w:rPr>
          <w:rFonts w:hint="eastAsia" w:ascii="仿宋_GB2312" w:hAnsi="黑体" w:eastAsia="仿宋_GB2312" w:cstheme="minorBidi"/>
          <w:sz w:val="28"/>
          <w:szCs w:val="28"/>
          <w:highlight w:val="none"/>
          <w:lang w:val="en-US" w:eastAsia="zh-CN"/>
        </w:rPr>
        <w:t>如由食堂提供餐食，应提供</w:t>
      </w:r>
      <w:r>
        <w:rPr>
          <w:rFonts w:hint="eastAsia" w:ascii="仿宋_GB2312" w:hAnsi="黑体" w:eastAsia="仿宋_GB2312"/>
          <w:sz w:val="28"/>
          <w:szCs w:val="28"/>
          <w:highlight w:val="none"/>
        </w:rPr>
        <w:t>有效的食品经营许可证</w:t>
      </w:r>
      <w:r>
        <w:rPr>
          <w:rFonts w:hint="eastAsia" w:ascii="仿宋_GB2312" w:hAnsi="黑体" w:eastAsia="仿宋_GB2312"/>
          <w:sz w:val="28"/>
          <w:szCs w:val="28"/>
          <w:highlight w:val="none"/>
          <w:lang w:eastAsia="zh-CN"/>
        </w:rPr>
        <w:t>、餐饮服务公司与供应商签署的合同。</w:t>
      </w:r>
    </w:p>
    <w:p w14:paraId="61833A55">
      <w:pPr>
        <w:pStyle w:val="19"/>
        <w:widowControl/>
        <w:numPr>
          <w:ilvl w:val="0"/>
          <w:numId w:val="6"/>
        </w:numPr>
        <w:spacing w:line="600" w:lineRule="exact"/>
        <w:ind w:left="0" w:firstLine="0" w:firstLineChars="0"/>
        <w:rPr>
          <w:rFonts w:hint="eastAsia" w:ascii="仿宋_GB2312" w:hAnsi="黑体" w:eastAsia="仿宋_GB2312"/>
          <w:sz w:val="28"/>
          <w:szCs w:val="28"/>
          <w:highlight w:val="none"/>
          <w:lang w:eastAsia="zh-CN"/>
        </w:rPr>
      </w:pPr>
      <w:r>
        <w:rPr>
          <w:rFonts w:hint="eastAsia" w:ascii="仿宋_GB2312" w:hAnsi="黑体" w:eastAsia="仿宋_GB2312" w:cstheme="minorBidi"/>
          <w:sz w:val="28"/>
          <w:szCs w:val="28"/>
          <w:highlight w:val="none"/>
          <w:lang w:val="en-US" w:eastAsia="zh-CN"/>
        </w:rPr>
        <w:t>如租赁车辆，应提供租车公司的营业执照（经营范围包括汽车租赁）、租车公司与供应商签署的合同。</w:t>
      </w:r>
    </w:p>
    <w:p w14:paraId="53EF9A25">
      <w:pPr>
        <w:pStyle w:val="19"/>
        <w:widowControl/>
        <w:numPr>
          <w:ilvl w:val="0"/>
          <w:numId w:val="6"/>
        </w:numPr>
        <w:spacing w:line="600" w:lineRule="exact"/>
        <w:ind w:left="0" w:firstLine="0" w:firstLineChars="0"/>
        <w:rPr>
          <w:rFonts w:hint="eastAsia" w:ascii="仿宋_GB2312" w:hAnsi="黑体" w:eastAsia="仿宋_GB2312"/>
          <w:sz w:val="28"/>
          <w:szCs w:val="28"/>
          <w:highlight w:val="none"/>
        </w:rPr>
      </w:pPr>
      <w:r>
        <w:rPr>
          <w:rFonts w:hint="eastAsia" w:ascii="仿宋_GB2312" w:hAnsi="黑体" w:eastAsia="仿宋_GB2312"/>
          <w:sz w:val="28"/>
          <w:szCs w:val="28"/>
          <w:highlight w:val="none"/>
        </w:rPr>
        <w:t>具备法律、行政法规规定的其他条件的证明材料。</w:t>
      </w:r>
    </w:p>
    <w:p w14:paraId="6526F283">
      <w:pPr>
        <w:pStyle w:val="19"/>
        <w:widowControl/>
        <w:numPr>
          <w:ilvl w:val="0"/>
          <w:numId w:val="5"/>
        </w:numPr>
        <w:ind w:firstLineChars="0"/>
        <w:outlineLvl w:val="1"/>
        <w:rPr>
          <w:rFonts w:ascii="仿宋_GB2312" w:hAnsi="黑体" w:eastAsia="仿宋_GB2312"/>
          <w:b/>
          <w:bCs/>
          <w:sz w:val="28"/>
          <w:szCs w:val="28"/>
          <w:highlight w:val="none"/>
        </w:rPr>
      </w:pPr>
      <w:bookmarkStart w:id="18" w:name="_Toc1089283625"/>
      <w:r>
        <w:rPr>
          <w:rFonts w:hint="eastAsia" w:ascii="仿宋_GB2312" w:hAnsi="黑体" w:eastAsia="仿宋_GB2312"/>
          <w:b/>
          <w:bCs/>
          <w:sz w:val="28"/>
          <w:szCs w:val="28"/>
          <w:highlight w:val="none"/>
        </w:rPr>
        <w:t>响应文件</w:t>
      </w:r>
      <w:bookmarkEnd w:id="18"/>
    </w:p>
    <w:p w14:paraId="4EACEC9C">
      <w:pPr>
        <w:pStyle w:val="19"/>
        <w:widowControl/>
        <w:numPr>
          <w:ilvl w:val="0"/>
          <w:numId w:val="0"/>
        </w:numPr>
        <w:ind w:leftChars="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lang w:val="en-US" w:eastAsia="zh-CN"/>
        </w:rPr>
        <w:t>一</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rPr>
        <w:t>贵单位需根据本文件第二章《采购内容及要求》进行全面响应。</w:t>
      </w:r>
    </w:p>
    <w:p w14:paraId="4E1CC3F9">
      <w:pPr>
        <w:pStyle w:val="19"/>
        <w:widowControl/>
        <w:numPr>
          <w:ilvl w:val="0"/>
          <w:numId w:val="0"/>
        </w:numPr>
        <w:spacing w:line="600" w:lineRule="exact"/>
        <w:ind w:leftChars="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lang w:val="en-US" w:eastAsia="zh-CN"/>
        </w:rPr>
        <w:t>二</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rPr>
        <w:t>贵单位需根据本文件第四章《响应文件要求》准备响应文件。响应文件提交截止时间前，贵单位可对所提交的响应文件进行补充、修改或撤回。补充、修改的内容将作为响应文件的组成部分。</w:t>
      </w:r>
    </w:p>
    <w:p w14:paraId="1E8DB29B">
      <w:pPr>
        <w:pStyle w:val="19"/>
        <w:widowControl/>
        <w:numPr>
          <w:ilvl w:val="0"/>
          <w:numId w:val="5"/>
        </w:numPr>
        <w:spacing w:line="600" w:lineRule="exact"/>
        <w:ind w:firstLineChars="0"/>
        <w:outlineLvl w:val="1"/>
        <w:rPr>
          <w:rFonts w:ascii="仿宋_GB2312" w:hAnsi="黑体" w:eastAsia="仿宋_GB2312"/>
          <w:b/>
          <w:bCs/>
          <w:sz w:val="28"/>
          <w:szCs w:val="28"/>
          <w:highlight w:val="none"/>
        </w:rPr>
      </w:pPr>
      <w:bookmarkStart w:id="19" w:name="_Toc1687890826"/>
      <w:r>
        <w:rPr>
          <w:rFonts w:hint="eastAsia" w:ascii="仿宋_GB2312" w:hAnsi="黑体" w:eastAsia="仿宋_GB2312"/>
          <w:b/>
          <w:bCs/>
          <w:sz w:val="28"/>
          <w:szCs w:val="28"/>
          <w:highlight w:val="none"/>
        </w:rPr>
        <w:t>竞争性磋商</w:t>
      </w:r>
      <w:bookmarkEnd w:id="19"/>
    </w:p>
    <w:p w14:paraId="70005079">
      <w:pPr>
        <w:pStyle w:val="19"/>
        <w:widowControl/>
        <w:numPr>
          <w:ilvl w:val="0"/>
          <w:numId w:val="7"/>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会议组织</w:t>
      </w:r>
    </w:p>
    <w:p w14:paraId="4C0A3C66">
      <w:pPr>
        <w:pStyle w:val="19"/>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采购人负责召开竞争性磋商会议、谈判及评审工作。供应商委派代表参加磋商会议，向采购人介绍服务方案并进行</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w:t>
      </w:r>
    </w:p>
    <w:p w14:paraId="2DC19622">
      <w:pPr>
        <w:pStyle w:val="19"/>
        <w:widowControl/>
        <w:numPr>
          <w:ilvl w:val="0"/>
          <w:numId w:val="7"/>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磋商原则</w:t>
      </w:r>
    </w:p>
    <w:p w14:paraId="291307D7">
      <w:pPr>
        <w:pStyle w:val="19"/>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采购人遵循公平、公正的原则进行磋商，采用同一程序和标准对供应商进行评估。</w:t>
      </w:r>
    </w:p>
    <w:p w14:paraId="52EEC165">
      <w:pPr>
        <w:pStyle w:val="19"/>
        <w:widowControl/>
        <w:numPr>
          <w:ilvl w:val="0"/>
          <w:numId w:val="7"/>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评审方法</w:t>
      </w:r>
    </w:p>
    <w:p w14:paraId="012FD7A4">
      <w:pPr>
        <w:pStyle w:val="19"/>
        <w:widowControl/>
        <w:spacing w:line="600" w:lineRule="exact"/>
        <w:ind w:firstLine="560"/>
        <w:rPr>
          <w:rFonts w:hint="eastAsia" w:ascii="仿宋_GB2312" w:hAnsi="黑体" w:eastAsia="仿宋_GB2312"/>
          <w:sz w:val="28"/>
          <w:szCs w:val="28"/>
          <w:highlight w:val="none"/>
        </w:rPr>
      </w:pPr>
      <w:r>
        <w:rPr>
          <w:rFonts w:hint="eastAsia" w:ascii="仿宋_GB2312" w:hAnsi="黑体" w:eastAsia="仿宋_GB2312"/>
          <w:sz w:val="28"/>
          <w:szCs w:val="28"/>
          <w:highlight w:val="none"/>
        </w:rPr>
        <w:t>采购人采用</w:t>
      </w:r>
      <w:r>
        <w:rPr>
          <w:rFonts w:hint="eastAsia" w:ascii="仿宋_GB2312" w:hAnsi="黑体" w:eastAsia="仿宋_GB2312"/>
          <w:sz w:val="28"/>
          <w:szCs w:val="28"/>
          <w:highlight w:val="none"/>
          <w:lang w:val="en-US" w:eastAsia="zh-CN"/>
        </w:rPr>
        <w:t>以下评分表</w:t>
      </w:r>
      <w:r>
        <w:rPr>
          <w:rFonts w:hint="eastAsia" w:ascii="仿宋_GB2312" w:hAnsi="黑体" w:eastAsia="仿宋_GB2312"/>
          <w:sz w:val="28"/>
          <w:szCs w:val="28"/>
          <w:highlight w:val="none"/>
        </w:rPr>
        <w:t>对供应商进行评估打分。具体指标</w:t>
      </w:r>
      <w:r>
        <w:rPr>
          <w:rFonts w:hint="eastAsia" w:ascii="仿宋_GB2312" w:hAnsi="黑体" w:eastAsia="仿宋_GB2312"/>
          <w:sz w:val="28"/>
          <w:szCs w:val="28"/>
          <w:highlight w:val="none"/>
          <w:lang w:val="en-US" w:eastAsia="zh-CN"/>
        </w:rPr>
        <w:t>、分值和评分细则</w:t>
      </w:r>
      <w:r>
        <w:rPr>
          <w:rFonts w:hint="eastAsia" w:ascii="仿宋_GB2312" w:hAnsi="黑体" w:eastAsia="仿宋_GB2312"/>
          <w:sz w:val="28"/>
          <w:szCs w:val="28"/>
          <w:highlight w:val="none"/>
        </w:rPr>
        <w:t>如下：</w:t>
      </w:r>
    </w:p>
    <w:tbl>
      <w:tblPr>
        <w:tblStyle w:val="12"/>
        <w:tblW w:w="9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3525"/>
        <w:gridCol w:w="4590"/>
        <w:gridCol w:w="945"/>
      </w:tblGrid>
      <w:tr w14:paraId="51E94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05" w:type="dxa"/>
            <w:gridSpan w:val="4"/>
            <w:tcBorders>
              <w:top w:val="nil"/>
              <w:left w:val="nil"/>
              <w:bottom w:val="nil"/>
              <w:right w:val="nil"/>
            </w:tcBorders>
            <w:noWrap/>
            <w:vAlign w:val="center"/>
          </w:tcPr>
          <w:p w14:paraId="1B3647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评分表</w:t>
            </w:r>
          </w:p>
        </w:tc>
      </w:tr>
      <w:tr w14:paraId="0DF02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4A3CF6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14:paraId="1A5807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事项（总分）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1ACDC54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标准</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02CB245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分值</w:t>
            </w:r>
          </w:p>
        </w:tc>
      </w:tr>
      <w:tr w14:paraId="7BF8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45266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3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36C4793">
            <w:pPr>
              <w:keepNext w:val="0"/>
              <w:keepLines w:val="0"/>
              <w:widowControl/>
              <w:suppressLineNumbers w:val="0"/>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课程方案与师资力量：根据课程特色、班级人数、师资配置、教师素质、教学设施</w:t>
            </w:r>
            <w:r>
              <w:rPr>
                <w:rFonts w:hint="default" w:ascii="Times New Roman" w:hAnsi="Times New Roman" w:cs="Times New Roman"/>
                <w:i w:val="0"/>
                <w:iCs w:val="0"/>
                <w:color w:val="000000"/>
                <w:kern w:val="0"/>
                <w:sz w:val="24"/>
                <w:szCs w:val="24"/>
                <w:u w:val="none"/>
                <w:lang w:val="en-US" w:eastAsia="zh-CN" w:bidi="ar"/>
              </w:rPr>
              <w:t>、拓展活动</w:t>
            </w:r>
            <w:r>
              <w:rPr>
                <w:rFonts w:hint="default" w:ascii="Times New Roman" w:hAnsi="Times New Roman" w:eastAsia="宋体" w:cs="Times New Roman"/>
                <w:i w:val="0"/>
                <w:iCs w:val="0"/>
                <w:color w:val="000000"/>
                <w:kern w:val="0"/>
                <w:sz w:val="24"/>
                <w:szCs w:val="24"/>
                <w:u w:val="none"/>
                <w:lang w:val="en-US" w:eastAsia="zh-CN" w:bidi="ar"/>
              </w:rPr>
              <w:t>等进行综合评价。（50分）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091208D5">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default" w:ascii="Times New Roman" w:hAnsi="Times New Roman" w:cs="Times New Roman"/>
                <w:i w:val="0"/>
                <w:iCs w:val="0"/>
                <w:color w:val="000000"/>
                <w:sz w:val="24"/>
                <w:szCs w:val="24"/>
                <w:highlight w:val="none"/>
                <w:u w:val="none"/>
                <w:lang w:eastAsia="zh-CN"/>
              </w:rPr>
              <w:t>课程特色突出、班级人数较少、师资配比较高、教师学历较高、有教师资格证的老师较多、教学设施完善、拓展活动丰富，得</w:t>
            </w:r>
            <w:r>
              <w:rPr>
                <w:rFonts w:hint="default" w:ascii="Times New Roman" w:hAnsi="Times New Roman" w:cs="Times New Roman"/>
                <w:i w:val="0"/>
                <w:iCs w:val="0"/>
                <w:color w:val="000000"/>
                <w:sz w:val="24"/>
                <w:szCs w:val="24"/>
                <w:highlight w:val="none"/>
                <w:u w:val="none"/>
                <w:lang w:val="en-US" w:eastAsia="zh-CN"/>
              </w:rPr>
              <w:t>50分</w:t>
            </w:r>
          </w:p>
        </w:tc>
        <w:tc>
          <w:tcPr>
            <w:tcW w:w="945" w:type="dxa"/>
            <w:vMerge w:val="restart"/>
            <w:tcBorders>
              <w:top w:val="single" w:color="000000" w:sz="4" w:space="0"/>
              <w:left w:val="single" w:color="000000" w:sz="4" w:space="0"/>
              <w:right w:val="single" w:color="000000" w:sz="4" w:space="0"/>
            </w:tcBorders>
            <w:noWrap w:val="0"/>
            <w:vAlign w:val="center"/>
          </w:tcPr>
          <w:p w14:paraId="7DADF27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50分</w:t>
            </w:r>
          </w:p>
        </w:tc>
      </w:tr>
      <w:tr w14:paraId="4BD5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5C99D">
            <w:pPr>
              <w:jc w:val="center"/>
              <w:rPr>
                <w:rFonts w:hint="default" w:ascii="Times New Roman" w:hAnsi="Times New Roman" w:eastAsia="宋体" w:cs="Times New Roman"/>
                <w:i w:val="0"/>
                <w:iCs w:val="0"/>
                <w:color w:val="000000"/>
                <w:sz w:val="24"/>
                <w:szCs w:val="24"/>
                <w:u w:val="none"/>
              </w:rPr>
            </w:pP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A4766">
            <w:pPr>
              <w:jc w:val="both"/>
              <w:rPr>
                <w:rFonts w:hint="default" w:ascii="Times New Roman" w:hAnsi="Times New Roman" w:eastAsia="宋体" w:cs="Times New Roman"/>
                <w:i w:val="0"/>
                <w:iCs w:val="0"/>
                <w:color w:val="000000"/>
                <w:sz w:val="24"/>
                <w:szCs w:val="24"/>
                <w:u w:val="none"/>
              </w:rPr>
            </w:pP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7B61B19B">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cs="Times New Roman"/>
                <w:i w:val="0"/>
                <w:iCs w:val="0"/>
                <w:color w:val="000000"/>
                <w:kern w:val="0"/>
                <w:sz w:val="24"/>
                <w:szCs w:val="24"/>
                <w:highlight w:val="none"/>
                <w:u w:val="none"/>
                <w:lang w:val="en-US" w:eastAsia="zh-CN" w:bidi="ar"/>
              </w:rPr>
              <w:t>课程较有特色、班级人数合理、师资配比合理、教师有大学学历、个别老师有教师资格证、教学设施合理、有一定拓展活动，得30分</w:t>
            </w:r>
          </w:p>
        </w:tc>
        <w:tc>
          <w:tcPr>
            <w:tcW w:w="945" w:type="dxa"/>
            <w:vMerge w:val="continue"/>
            <w:tcBorders>
              <w:left w:val="single" w:color="000000" w:sz="4" w:space="0"/>
              <w:right w:val="single" w:color="000000" w:sz="4" w:space="0"/>
            </w:tcBorders>
            <w:noWrap w:val="0"/>
            <w:vAlign w:val="center"/>
          </w:tcPr>
          <w:p w14:paraId="4F47EC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19780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E778BF">
            <w:pPr>
              <w:jc w:val="center"/>
              <w:rPr>
                <w:rFonts w:hint="default" w:ascii="Times New Roman" w:hAnsi="Times New Roman" w:eastAsia="宋体" w:cs="Times New Roman"/>
                <w:i w:val="0"/>
                <w:iCs w:val="0"/>
                <w:color w:val="000000"/>
                <w:sz w:val="24"/>
                <w:szCs w:val="24"/>
                <w:u w:val="none"/>
              </w:rPr>
            </w:pP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FDDB9">
            <w:pPr>
              <w:jc w:val="both"/>
              <w:rPr>
                <w:rFonts w:hint="default" w:ascii="Times New Roman" w:hAnsi="Times New Roman" w:eastAsia="宋体" w:cs="Times New Roman"/>
                <w:i w:val="0"/>
                <w:iCs w:val="0"/>
                <w:color w:val="000000"/>
                <w:sz w:val="24"/>
                <w:szCs w:val="24"/>
                <w:u w:val="none"/>
              </w:rPr>
            </w:pP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316E06E9">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cs="Times New Roman"/>
                <w:i w:val="0"/>
                <w:iCs w:val="0"/>
                <w:color w:val="000000"/>
                <w:kern w:val="0"/>
                <w:sz w:val="24"/>
                <w:szCs w:val="24"/>
                <w:highlight w:val="none"/>
                <w:u w:val="none"/>
                <w:lang w:val="en-US" w:eastAsia="zh-CN" w:bidi="ar"/>
              </w:rPr>
              <w:t>课程特色不足、班级人数偏多、师资配比较低、教师学历较低、没有教师资格证、教学设施一般、拓展活动偏少，得10分</w:t>
            </w:r>
          </w:p>
        </w:tc>
        <w:tc>
          <w:tcPr>
            <w:tcW w:w="945" w:type="dxa"/>
            <w:vMerge w:val="continue"/>
            <w:tcBorders>
              <w:left w:val="single" w:color="000000" w:sz="4" w:space="0"/>
              <w:bottom w:val="single" w:color="000000" w:sz="4" w:space="0"/>
              <w:right w:val="single" w:color="000000" w:sz="4" w:space="0"/>
            </w:tcBorders>
            <w:noWrap w:val="0"/>
            <w:vAlign w:val="center"/>
          </w:tcPr>
          <w:p w14:paraId="4E9B82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3FF22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064076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3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AE9AA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托管场所距离</w:t>
            </w:r>
            <w:r>
              <w:rPr>
                <w:rFonts w:hint="eastAsia" w:ascii="Times New Roman" w:hAnsi="Times New Roman" w:eastAsia="宋体" w:cs="Times New Roman"/>
                <w:i w:val="0"/>
                <w:iCs w:val="0"/>
                <w:color w:val="000000"/>
                <w:kern w:val="0"/>
                <w:sz w:val="24"/>
                <w:szCs w:val="24"/>
                <w:u w:val="none"/>
                <w:lang w:val="en-US" w:eastAsia="zh-CN" w:bidi="ar"/>
              </w:rPr>
              <w:t>采购人</w:t>
            </w:r>
            <w:r>
              <w:rPr>
                <w:rFonts w:hint="default" w:ascii="Times New Roman" w:hAnsi="Times New Roman" w:eastAsia="宋体" w:cs="Times New Roman"/>
                <w:i w:val="0"/>
                <w:iCs w:val="0"/>
                <w:color w:val="000000"/>
                <w:kern w:val="0"/>
                <w:sz w:val="24"/>
                <w:szCs w:val="24"/>
                <w:u w:val="none"/>
                <w:lang w:val="en-US" w:eastAsia="zh-CN" w:bidi="ar"/>
              </w:rPr>
              <w:t>办公地车程（</w:t>
            </w:r>
            <w:r>
              <w:rPr>
                <w:rFonts w:hint="default" w:ascii="Times New Roman" w:hAnsi="Times New Roman" w:cs="Times New Roman"/>
                <w:i w:val="0"/>
                <w:iCs w:val="0"/>
                <w:color w:val="000000"/>
                <w:kern w:val="0"/>
                <w:sz w:val="24"/>
                <w:szCs w:val="24"/>
                <w:u w:val="none"/>
                <w:lang w:val="en-US" w:eastAsia="zh-CN" w:bidi="ar"/>
              </w:rPr>
              <w:t>6</w:t>
            </w:r>
            <w:r>
              <w:rPr>
                <w:rFonts w:hint="default" w:ascii="Times New Roman" w:hAnsi="Times New Roman" w:eastAsia="宋体" w:cs="Times New Roman"/>
                <w:i w:val="0"/>
                <w:iCs w:val="0"/>
                <w:color w:val="000000"/>
                <w:kern w:val="0"/>
                <w:sz w:val="24"/>
                <w:szCs w:val="24"/>
                <w:u w:val="none"/>
                <w:lang w:val="en-US" w:eastAsia="zh-CN" w:bidi="ar"/>
              </w:rPr>
              <w:t>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4EADCE8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半小时以内</w:t>
            </w:r>
            <w:r>
              <w:rPr>
                <w:rFonts w:hint="default" w:ascii="Times New Roman" w:hAnsi="Times New Roman" w:cs="Times New Roman"/>
                <w:i w:val="0"/>
                <w:iCs w:val="0"/>
                <w:color w:val="000000"/>
                <w:kern w:val="0"/>
                <w:sz w:val="24"/>
                <w:szCs w:val="24"/>
                <w:u w:val="none"/>
                <w:lang w:val="en-US" w:eastAsia="zh-CN" w:bidi="ar"/>
              </w:rPr>
              <w:t>，得6分</w:t>
            </w:r>
          </w:p>
        </w:tc>
        <w:tc>
          <w:tcPr>
            <w:tcW w:w="945" w:type="dxa"/>
            <w:vMerge w:val="restart"/>
            <w:tcBorders>
              <w:top w:val="single" w:color="000000" w:sz="4" w:space="0"/>
              <w:left w:val="single" w:color="000000" w:sz="4" w:space="0"/>
              <w:right w:val="single" w:color="000000" w:sz="4" w:space="0"/>
            </w:tcBorders>
            <w:noWrap w:val="0"/>
            <w:vAlign w:val="center"/>
          </w:tcPr>
          <w:p w14:paraId="105D89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cs="Times New Roman"/>
                <w:i w:val="0"/>
                <w:iCs w:val="0"/>
                <w:color w:val="000000"/>
                <w:kern w:val="0"/>
                <w:sz w:val="24"/>
                <w:szCs w:val="24"/>
                <w:u w:val="none"/>
                <w:lang w:val="en-US" w:eastAsia="zh-CN" w:bidi="ar"/>
              </w:rPr>
              <w:t>6</w:t>
            </w:r>
            <w:r>
              <w:rPr>
                <w:rFonts w:hint="default" w:ascii="Times New Roman" w:hAnsi="Times New Roman" w:eastAsia="宋体" w:cs="Times New Roman"/>
                <w:i w:val="0"/>
                <w:iCs w:val="0"/>
                <w:color w:val="000000"/>
                <w:kern w:val="0"/>
                <w:sz w:val="24"/>
                <w:szCs w:val="24"/>
                <w:u w:val="none"/>
                <w:lang w:val="en-US" w:eastAsia="zh-CN" w:bidi="ar"/>
              </w:rPr>
              <w:t>分</w:t>
            </w:r>
          </w:p>
        </w:tc>
      </w:tr>
      <w:tr w14:paraId="619C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589C53">
            <w:pPr>
              <w:jc w:val="center"/>
              <w:rPr>
                <w:rFonts w:hint="default" w:ascii="Times New Roman" w:hAnsi="Times New Roman" w:eastAsia="宋体" w:cs="Times New Roman"/>
                <w:i w:val="0"/>
                <w:iCs w:val="0"/>
                <w:color w:val="000000"/>
                <w:sz w:val="24"/>
                <w:szCs w:val="24"/>
                <w:u w:val="none"/>
              </w:rPr>
            </w:pP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B0992">
            <w:pPr>
              <w:jc w:val="center"/>
              <w:rPr>
                <w:rFonts w:hint="default" w:ascii="Times New Roman" w:hAnsi="Times New Roman" w:eastAsia="宋体" w:cs="Times New Roman"/>
                <w:i w:val="0"/>
                <w:iCs w:val="0"/>
                <w:color w:val="000000"/>
                <w:sz w:val="24"/>
                <w:szCs w:val="24"/>
                <w:u w:val="none"/>
              </w:rPr>
            </w:pP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67F4112D">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一小时以内</w:t>
            </w:r>
            <w:r>
              <w:rPr>
                <w:rFonts w:hint="default" w:ascii="Times New Roman" w:hAnsi="Times New Roman" w:cs="Times New Roman"/>
                <w:i w:val="0"/>
                <w:iCs w:val="0"/>
                <w:color w:val="000000"/>
                <w:kern w:val="0"/>
                <w:sz w:val="24"/>
                <w:szCs w:val="24"/>
                <w:u w:val="none"/>
                <w:lang w:val="en-US" w:eastAsia="zh-CN" w:bidi="ar"/>
              </w:rPr>
              <w:t>，得3分</w:t>
            </w:r>
          </w:p>
        </w:tc>
        <w:tc>
          <w:tcPr>
            <w:tcW w:w="945" w:type="dxa"/>
            <w:vMerge w:val="continue"/>
            <w:tcBorders>
              <w:left w:val="single" w:color="000000" w:sz="4" w:space="0"/>
              <w:right w:val="single" w:color="000000" w:sz="4" w:space="0"/>
            </w:tcBorders>
            <w:noWrap w:val="0"/>
            <w:vAlign w:val="center"/>
          </w:tcPr>
          <w:p w14:paraId="12B0FC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71659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F39A6">
            <w:pPr>
              <w:jc w:val="center"/>
              <w:rPr>
                <w:rFonts w:hint="default" w:ascii="Times New Roman" w:hAnsi="Times New Roman" w:eastAsia="宋体" w:cs="Times New Roman"/>
                <w:i w:val="0"/>
                <w:iCs w:val="0"/>
                <w:color w:val="000000"/>
                <w:sz w:val="24"/>
                <w:szCs w:val="24"/>
                <w:u w:val="none"/>
              </w:rPr>
            </w:pP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E91D55">
            <w:pPr>
              <w:jc w:val="center"/>
              <w:rPr>
                <w:rFonts w:hint="default" w:ascii="Times New Roman" w:hAnsi="Times New Roman" w:eastAsia="宋体" w:cs="Times New Roman"/>
                <w:i w:val="0"/>
                <w:iCs w:val="0"/>
                <w:color w:val="000000"/>
                <w:sz w:val="24"/>
                <w:szCs w:val="24"/>
                <w:u w:val="none"/>
              </w:rPr>
            </w:pP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2A5DFCF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一小时以上</w:t>
            </w:r>
            <w:r>
              <w:rPr>
                <w:rFonts w:hint="default" w:ascii="Times New Roman" w:hAnsi="Times New Roman" w:cs="Times New Roman"/>
                <w:i w:val="0"/>
                <w:iCs w:val="0"/>
                <w:color w:val="000000"/>
                <w:kern w:val="0"/>
                <w:sz w:val="24"/>
                <w:szCs w:val="24"/>
                <w:u w:val="none"/>
                <w:lang w:val="en-US" w:eastAsia="zh-CN" w:bidi="ar"/>
              </w:rPr>
              <w:t>，得0分</w:t>
            </w:r>
          </w:p>
        </w:tc>
        <w:tc>
          <w:tcPr>
            <w:tcW w:w="945" w:type="dxa"/>
            <w:vMerge w:val="continue"/>
            <w:tcBorders>
              <w:left w:val="single" w:color="000000" w:sz="4" w:space="0"/>
              <w:bottom w:val="single" w:color="000000" w:sz="4" w:space="0"/>
              <w:right w:val="single" w:color="000000" w:sz="4" w:space="0"/>
            </w:tcBorders>
            <w:noWrap w:val="0"/>
            <w:vAlign w:val="center"/>
          </w:tcPr>
          <w:p w14:paraId="21B564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066F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9828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3525" w:type="dxa"/>
            <w:vMerge w:val="restart"/>
            <w:tcBorders>
              <w:top w:val="single" w:color="000000" w:sz="4" w:space="0"/>
              <w:left w:val="single" w:color="000000" w:sz="4" w:space="0"/>
              <w:bottom w:val="nil"/>
              <w:right w:val="single" w:color="000000" w:sz="4" w:space="0"/>
            </w:tcBorders>
            <w:noWrap w:val="0"/>
            <w:vAlign w:val="center"/>
          </w:tcPr>
          <w:p w14:paraId="35031A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安全保障（15分）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6592CE61">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托管场地位于中小学校园内</w:t>
            </w:r>
            <w:r>
              <w:rPr>
                <w:rFonts w:hint="default" w:ascii="Times New Roman" w:hAnsi="Times New Roman" w:cs="Times New Roman"/>
                <w:i w:val="0"/>
                <w:iCs w:val="0"/>
                <w:color w:val="000000"/>
                <w:kern w:val="0"/>
                <w:sz w:val="24"/>
                <w:szCs w:val="24"/>
                <w:highlight w:val="none"/>
                <w:u w:val="none"/>
                <w:lang w:val="en-US" w:eastAsia="zh-CN" w:bidi="ar"/>
              </w:rPr>
              <w:t>得10分，否则不得分</w:t>
            </w:r>
          </w:p>
        </w:tc>
        <w:tc>
          <w:tcPr>
            <w:tcW w:w="945" w:type="dxa"/>
            <w:vMerge w:val="restart"/>
            <w:tcBorders>
              <w:top w:val="single" w:color="000000" w:sz="4" w:space="0"/>
              <w:left w:val="single" w:color="000000" w:sz="4" w:space="0"/>
              <w:right w:val="single" w:color="000000" w:sz="4" w:space="0"/>
            </w:tcBorders>
            <w:noWrap w:val="0"/>
            <w:vAlign w:val="center"/>
          </w:tcPr>
          <w:p w14:paraId="1C0555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hint="default" w:ascii="Times New Roman" w:hAnsi="Times New Roman"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分</w:t>
            </w:r>
          </w:p>
        </w:tc>
      </w:tr>
      <w:tr w14:paraId="1CF32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734AF2">
            <w:pPr>
              <w:jc w:val="center"/>
              <w:rPr>
                <w:rFonts w:hint="default" w:ascii="Times New Roman" w:hAnsi="Times New Roman" w:eastAsia="宋体" w:cs="Times New Roman"/>
                <w:i w:val="0"/>
                <w:iCs w:val="0"/>
                <w:color w:val="000000"/>
                <w:sz w:val="24"/>
                <w:szCs w:val="24"/>
                <w:u w:val="none"/>
              </w:rPr>
            </w:pPr>
          </w:p>
        </w:tc>
        <w:tc>
          <w:tcPr>
            <w:tcW w:w="3525" w:type="dxa"/>
            <w:vMerge w:val="continue"/>
            <w:tcBorders>
              <w:top w:val="single" w:color="000000" w:sz="4" w:space="0"/>
              <w:left w:val="single" w:color="000000" w:sz="4" w:space="0"/>
              <w:bottom w:val="nil"/>
              <w:right w:val="single" w:color="000000" w:sz="4" w:space="0"/>
            </w:tcBorders>
            <w:noWrap w:val="0"/>
            <w:vAlign w:val="center"/>
          </w:tcPr>
          <w:p w14:paraId="45AA98AC">
            <w:pPr>
              <w:jc w:val="center"/>
              <w:rPr>
                <w:rFonts w:hint="default" w:ascii="Times New Roman" w:hAnsi="Times New Roman" w:eastAsia="宋体" w:cs="Times New Roman"/>
                <w:i w:val="0"/>
                <w:iCs w:val="0"/>
                <w:color w:val="000000"/>
                <w:sz w:val="24"/>
                <w:szCs w:val="24"/>
                <w:u w:val="none"/>
              </w:rPr>
            </w:pP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6D95AA9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提供符合校车标准的大中型车辆</w:t>
            </w:r>
            <w:r>
              <w:rPr>
                <w:rFonts w:hint="default" w:ascii="Times New Roman" w:hAnsi="Times New Roman" w:cs="Times New Roman"/>
                <w:i w:val="0"/>
                <w:iCs w:val="0"/>
                <w:color w:val="000000"/>
                <w:kern w:val="0"/>
                <w:sz w:val="24"/>
                <w:szCs w:val="24"/>
                <w:highlight w:val="none"/>
                <w:u w:val="none"/>
                <w:lang w:val="en-US" w:eastAsia="zh-CN" w:bidi="ar"/>
              </w:rPr>
              <w:t>得5分，</w:t>
            </w:r>
            <w:r>
              <w:rPr>
                <w:rFonts w:hint="default" w:ascii="Times New Roman" w:hAnsi="Times New Roman" w:eastAsia="宋体" w:cs="Times New Roman"/>
                <w:i w:val="0"/>
                <w:iCs w:val="0"/>
                <w:color w:val="000000"/>
                <w:kern w:val="0"/>
                <w:sz w:val="24"/>
                <w:szCs w:val="24"/>
                <w:highlight w:val="none"/>
                <w:u w:val="none"/>
                <w:lang w:val="en-US" w:eastAsia="zh-CN" w:bidi="ar"/>
              </w:rPr>
              <w:t>提供普通的大巴车或中巴车</w:t>
            </w:r>
            <w:r>
              <w:rPr>
                <w:rFonts w:hint="default" w:ascii="Times New Roman" w:hAnsi="Times New Roman" w:cs="Times New Roman"/>
                <w:i w:val="0"/>
                <w:iCs w:val="0"/>
                <w:color w:val="000000"/>
                <w:kern w:val="0"/>
                <w:sz w:val="24"/>
                <w:szCs w:val="24"/>
                <w:highlight w:val="none"/>
                <w:u w:val="none"/>
                <w:lang w:val="en-US" w:eastAsia="zh-CN" w:bidi="ar"/>
              </w:rPr>
              <w:t>的3分</w:t>
            </w:r>
          </w:p>
        </w:tc>
        <w:tc>
          <w:tcPr>
            <w:tcW w:w="945" w:type="dxa"/>
            <w:vMerge w:val="continue"/>
            <w:tcBorders>
              <w:left w:val="single" w:color="000000" w:sz="4" w:space="0"/>
              <w:bottom w:val="single" w:color="000000" w:sz="4" w:space="0"/>
              <w:right w:val="single" w:color="000000" w:sz="4" w:space="0"/>
            </w:tcBorders>
            <w:noWrap w:val="0"/>
            <w:vAlign w:val="center"/>
          </w:tcPr>
          <w:p w14:paraId="4FA309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p>
        </w:tc>
      </w:tr>
      <w:tr w14:paraId="30DA0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DAA9E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3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DD622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餐饮服务（1</w:t>
            </w:r>
            <w:r>
              <w:rPr>
                <w:rFonts w:hint="default" w:ascii="Times New Roman" w:hAnsi="Times New Roman" w:cs="Times New Roman"/>
                <w:i w:val="0"/>
                <w:iCs w:val="0"/>
                <w:color w:val="000000"/>
                <w:kern w:val="0"/>
                <w:sz w:val="24"/>
                <w:szCs w:val="24"/>
                <w:u w:val="none"/>
                <w:lang w:val="en-US" w:eastAsia="zh-CN" w:bidi="ar"/>
              </w:rPr>
              <w:t>0</w:t>
            </w:r>
            <w:r>
              <w:rPr>
                <w:rFonts w:hint="default" w:ascii="Times New Roman" w:hAnsi="Times New Roman" w:eastAsia="宋体" w:cs="Times New Roman"/>
                <w:i w:val="0"/>
                <w:iCs w:val="0"/>
                <w:color w:val="000000"/>
                <w:kern w:val="0"/>
                <w:sz w:val="24"/>
                <w:szCs w:val="24"/>
                <w:u w:val="none"/>
                <w:lang w:val="en-US" w:eastAsia="zh-CN" w:bidi="ar"/>
              </w:rPr>
              <w:t>分）</w:t>
            </w:r>
          </w:p>
        </w:tc>
        <w:tc>
          <w:tcPr>
            <w:tcW w:w="4590" w:type="dxa"/>
            <w:tcBorders>
              <w:top w:val="single" w:color="000000" w:sz="4" w:space="0"/>
              <w:left w:val="single" w:color="000000" w:sz="4" w:space="0"/>
              <w:right w:val="single" w:color="000000" w:sz="4" w:space="0"/>
            </w:tcBorders>
            <w:noWrap w:val="0"/>
            <w:vAlign w:val="center"/>
          </w:tcPr>
          <w:p w14:paraId="07E7F0C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有食堂，由食堂现做并供应餐食</w:t>
            </w:r>
            <w:r>
              <w:rPr>
                <w:rFonts w:hint="default" w:ascii="Times New Roman" w:hAnsi="Times New Roman" w:cs="Times New Roman"/>
                <w:i w:val="0"/>
                <w:iCs w:val="0"/>
                <w:color w:val="000000"/>
                <w:kern w:val="0"/>
                <w:sz w:val="24"/>
                <w:szCs w:val="24"/>
                <w:highlight w:val="none"/>
                <w:u w:val="none"/>
                <w:lang w:val="en-US" w:eastAsia="zh-CN" w:bidi="ar"/>
              </w:rPr>
              <w:t>得5分；</w:t>
            </w:r>
          </w:p>
          <w:p w14:paraId="37FDB11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无食堂，从外部餐厅或中央厨房订购餐食</w:t>
            </w:r>
            <w:r>
              <w:rPr>
                <w:rFonts w:hint="default" w:ascii="Times New Roman" w:hAnsi="Times New Roman" w:cs="Times New Roman"/>
                <w:i w:val="0"/>
                <w:iCs w:val="0"/>
                <w:color w:val="000000"/>
                <w:kern w:val="0"/>
                <w:sz w:val="24"/>
                <w:szCs w:val="24"/>
                <w:highlight w:val="none"/>
                <w:u w:val="none"/>
                <w:lang w:val="en-US" w:eastAsia="zh-CN" w:bidi="ar"/>
              </w:rPr>
              <w:t>得0分</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1E9C0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分</w:t>
            </w:r>
          </w:p>
        </w:tc>
      </w:tr>
      <w:tr w14:paraId="719E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A467F">
            <w:pPr>
              <w:jc w:val="center"/>
              <w:rPr>
                <w:rFonts w:hint="default" w:ascii="Times New Roman" w:hAnsi="Times New Roman" w:eastAsia="宋体" w:cs="Times New Roman"/>
                <w:i w:val="0"/>
                <w:iCs w:val="0"/>
                <w:color w:val="000000"/>
                <w:sz w:val="24"/>
                <w:szCs w:val="24"/>
                <w:u w:val="none"/>
              </w:rPr>
            </w:pP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63956F">
            <w:pPr>
              <w:jc w:val="center"/>
              <w:rPr>
                <w:rFonts w:hint="default" w:ascii="Times New Roman" w:hAnsi="Times New Roman" w:eastAsia="宋体" w:cs="Times New Roman"/>
                <w:i w:val="0"/>
                <w:iCs w:val="0"/>
                <w:color w:val="000000"/>
                <w:sz w:val="24"/>
                <w:szCs w:val="24"/>
                <w:u w:val="none"/>
              </w:rPr>
            </w:pP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4578B0A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default" w:ascii="Times New Roman" w:hAnsi="Times New Roman" w:cs="Times New Roman"/>
                <w:i w:val="0"/>
                <w:iCs w:val="0"/>
                <w:color w:val="000000"/>
                <w:sz w:val="24"/>
                <w:szCs w:val="24"/>
                <w:highlight w:val="none"/>
                <w:u w:val="none"/>
                <w:lang w:eastAsia="zh-CN"/>
              </w:rPr>
              <w:t>菜品丰富、荤素搭配、营养均衡得</w:t>
            </w:r>
            <w:r>
              <w:rPr>
                <w:rFonts w:hint="default" w:ascii="Times New Roman" w:hAnsi="Times New Roman" w:cs="Times New Roman"/>
                <w:i w:val="0"/>
                <w:iCs w:val="0"/>
                <w:color w:val="000000"/>
                <w:sz w:val="24"/>
                <w:szCs w:val="24"/>
                <w:highlight w:val="none"/>
                <w:u w:val="none"/>
                <w:lang w:val="en-US" w:eastAsia="zh-CN"/>
              </w:rPr>
              <w:t>5分，</w:t>
            </w:r>
            <w:r>
              <w:rPr>
                <w:rFonts w:hint="default" w:ascii="Times New Roman" w:hAnsi="Times New Roman" w:cs="Times New Roman"/>
                <w:i w:val="0"/>
                <w:iCs w:val="0"/>
                <w:color w:val="000000"/>
                <w:kern w:val="0"/>
                <w:sz w:val="24"/>
                <w:szCs w:val="24"/>
                <w:highlight w:val="none"/>
                <w:u w:val="none"/>
                <w:lang w:val="en-US" w:eastAsia="zh-CN" w:bidi="ar"/>
              </w:rPr>
              <w:t>否则不得分</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377E3B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5分</w:t>
            </w:r>
          </w:p>
        </w:tc>
      </w:tr>
      <w:tr w14:paraId="22450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299D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4B3A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制度评价（</w:t>
            </w:r>
            <w:r>
              <w:rPr>
                <w:rFonts w:hint="eastAsia" w:ascii="Times New Roman" w:hAnsi="Times New Roman" w:cs="Times New Roman"/>
                <w:i w:val="0"/>
                <w:iCs w:val="0"/>
                <w:color w:val="000000"/>
                <w:kern w:val="0"/>
                <w:sz w:val="24"/>
                <w:szCs w:val="24"/>
                <w:u w:val="none"/>
                <w:lang w:val="en-US" w:eastAsia="zh-CN" w:bidi="ar"/>
              </w:rPr>
              <w:t>4</w:t>
            </w:r>
            <w:r>
              <w:rPr>
                <w:rFonts w:hint="default" w:ascii="Times New Roman" w:hAnsi="Times New Roman" w:eastAsia="宋体" w:cs="Times New Roman"/>
                <w:i w:val="0"/>
                <w:iCs w:val="0"/>
                <w:color w:val="000000"/>
                <w:kern w:val="0"/>
                <w:sz w:val="24"/>
                <w:szCs w:val="24"/>
                <w:u w:val="none"/>
                <w:lang w:val="en-US" w:eastAsia="zh-CN" w:bidi="ar"/>
              </w:rPr>
              <w:t>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197E7084">
            <w:pPr>
              <w:keepNext w:val="0"/>
              <w:keepLines w:val="0"/>
              <w:widowControl/>
              <w:suppressLineNumbers w:val="0"/>
              <w:jc w:val="left"/>
              <w:textAlignment w:val="center"/>
              <w:rPr>
                <w:rFonts w:hint="default" w:ascii="Times New Roman" w:hAnsi="Times New Roman" w:cs="Times New Roman"/>
                <w:i w:val="0"/>
                <w:iCs w:val="0"/>
                <w:color w:val="000000"/>
                <w:sz w:val="24"/>
                <w:szCs w:val="24"/>
                <w:highlight w:val="none"/>
                <w:u w:val="none"/>
                <w:lang w:eastAsia="zh-CN"/>
              </w:rPr>
            </w:pPr>
            <w:r>
              <w:rPr>
                <w:rFonts w:hint="default" w:ascii="Times New Roman" w:hAnsi="Times New Roman" w:cs="Times New Roman"/>
                <w:i w:val="0"/>
                <w:iCs w:val="0"/>
                <w:color w:val="000000"/>
                <w:sz w:val="24"/>
                <w:szCs w:val="24"/>
                <w:highlight w:val="none"/>
                <w:u w:val="none"/>
                <w:lang w:val="en-US" w:eastAsia="zh-CN"/>
              </w:rPr>
              <w:t>安全管理制度与应急预案完善</w:t>
            </w:r>
            <w:r>
              <w:rPr>
                <w:rFonts w:hint="eastAsia" w:ascii="Times New Roman" w:hAnsi="Times New Roman" w:cs="Times New Roman"/>
                <w:i w:val="0"/>
                <w:iCs w:val="0"/>
                <w:color w:val="000000"/>
                <w:sz w:val="24"/>
                <w:szCs w:val="24"/>
                <w:highlight w:val="none"/>
                <w:u w:val="none"/>
                <w:lang w:val="en-US" w:eastAsia="zh-CN"/>
              </w:rPr>
              <w:t>且</w:t>
            </w:r>
            <w:r>
              <w:rPr>
                <w:rFonts w:hint="default" w:ascii="Times New Roman" w:hAnsi="Times New Roman" w:cs="Times New Roman"/>
                <w:i w:val="0"/>
                <w:iCs w:val="0"/>
                <w:color w:val="000000"/>
                <w:sz w:val="24"/>
                <w:szCs w:val="24"/>
                <w:highlight w:val="none"/>
                <w:u w:val="none"/>
                <w:lang w:val="en-US" w:eastAsia="zh-CN"/>
              </w:rPr>
              <w:t>家校联系制度完善</w:t>
            </w:r>
            <w:r>
              <w:rPr>
                <w:rFonts w:hint="default" w:ascii="Times New Roman" w:hAnsi="Times New Roman" w:cs="Times New Roman"/>
                <w:i w:val="0"/>
                <w:iCs w:val="0"/>
                <w:color w:val="000000"/>
                <w:sz w:val="24"/>
                <w:szCs w:val="24"/>
                <w:highlight w:val="none"/>
                <w:u w:val="none"/>
                <w:lang w:eastAsia="zh-CN"/>
              </w:rPr>
              <w:t>得</w:t>
            </w:r>
            <w:r>
              <w:rPr>
                <w:rFonts w:hint="eastAsia" w:ascii="Times New Roman" w:hAnsi="Times New Roman" w:cs="Times New Roman"/>
                <w:i w:val="0"/>
                <w:iCs w:val="0"/>
                <w:color w:val="000000"/>
                <w:sz w:val="24"/>
                <w:szCs w:val="24"/>
                <w:highlight w:val="none"/>
                <w:u w:val="none"/>
                <w:lang w:val="en-US" w:eastAsia="zh-CN"/>
              </w:rPr>
              <w:t>4</w:t>
            </w:r>
            <w:r>
              <w:rPr>
                <w:rFonts w:hint="default" w:ascii="Times New Roman" w:hAnsi="Times New Roman" w:cs="Times New Roman"/>
                <w:i w:val="0"/>
                <w:iCs w:val="0"/>
                <w:color w:val="000000"/>
                <w:sz w:val="24"/>
                <w:szCs w:val="24"/>
                <w:highlight w:val="none"/>
                <w:u w:val="none"/>
                <w:lang w:val="en-US" w:eastAsia="zh-CN"/>
              </w:rPr>
              <w:t>分，</w:t>
            </w:r>
            <w:r>
              <w:rPr>
                <w:rFonts w:hint="default" w:ascii="Times New Roman" w:hAnsi="Times New Roman" w:cs="Times New Roman"/>
                <w:i w:val="0"/>
                <w:iCs w:val="0"/>
                <w:color w:val="000000"/>
                <w:kern w:val="0"/>
                <w:sz w:val="24"/>
                <w:szCs w:val="24"/>
                <w:highlight w:val="none"/>
                <w:u w:val="none"/>
                <w:lang w:val="en-US" w:eastAsia="zh-CN" w:bidi="ar"/>
              </w:rPr>
              <w:t>否则不得分</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88EE5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4"/>
                <w:szCs w:val="24"/>
                <w:u w:val="none"/>
                <w:lang w:val="en-US" w:eastAsia="zh-CN" w:bidi="ar"/>
              </w:rPr>
              <w:t>4</w:t>
            </w:r>
            <w:r>
              <w:rPr>
                <w:rFonts w:hint="default" w:ascii="Times New Roman" w:hAnsi="Times New Roman" w:eastAsia="宋体" w:cs="Times New Roman"/>
                <w:i w:val="0"/>
                <w:iCs w:val="0"/>
                <w:color w:val="000000"/>
                <w:kern w:val="0"/>
                <w:sz w:val="24"/>
                <w:szCs w:val="24"/>
                <w:u w:val="none"/>
                <w:lang w:val="en-US" w:eastAsia="zh-CN" w:bidi="ar"/>
              </w:rPr>
              <w:t>分</w:t>
            </w:r>
          </w:p>
        </w:tc>
      </w:tr>
      <w:tr w14:paraId="5FBBD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28EAE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cs="Times New Roman"/>
                <w:i w:val="0"/>
                <w:iCs w:val="0"/>
                <w:color w:val="000000"/>
                <w:kern w:val="0"/>
                <w:sz w:val="24"/>
                <w:szCs w:val="24"/>
                <w:u w:val="none"/>
                <w:lang w:val="en-US" w:eastAsia="zh-CN" w:bidi="ar"/>
              </w:rPr>
              <w:t>6</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14:paraId="7C5267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意外保险额度</w:t>
            </w:r>
            <w:r>
              <w:rPr>
                <w:rFonts w:hint="eastAsia" w:ascii="Times New Roman" w:hAnsi="Times New Roman" w:eastAsia="宋体" w:cs="Times New Roman"/>
                <w:i w:val="0"/>
                <w:iCs w:val="0"/>
                <w:color w:val="000000"/>
                <w:kern w:val="0"/>
                <w:sz w:val="24"/>
                <w:szCs w:val="24"/>
                <w:u w:val="none"/>
                <w:lang w:val="en-US" w:eastAsia="zh-CN" w:bidi="ar"/>
              </w:rPr>
              <w:t>（保障责任包括但不限于意外伤害身故和伤残、意外伤害医疗、汽车意外伤害身故和伤残、意外住院津贴、猝死保障、救护车车费保险金等）</w:t>
            </w:r>
            <w:r>
              <w:rPr>
                <w:rFonts w:hint="default" w:ascii="Times New Roman" w:hAnsi="Times New Roman" w:eastAsia="宋体" w:cs="Times New Roman"/>
                <w:i w:val="0"/>
                <w:iCs w:val="0"/>
                <w:color w:val="000000"/>
                <w:kern w:val="0"/>
                <w:sz w:val="24"/>
                <w:szCs w:val="24"/>
                <w:u w:val="none"/>
                <w:lang w:val="en-US" w:eastAsia="zh-CN" w:bidi="ar"/>
              </w:rPr>
              <w:t>（5分）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036DB773">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30万以上</w:t>
            </w:r>
            <w:r>
              <w:rPr>
                <w:rFonts w:hint="default" w:ascii="Times New Roman" w:hAnsi="Times New Roman" w:cs="Times New Roman"/>
                <w:i w:val="0"/>
                <w:iCs w:val="0"/>
                <w:color w:val="000000"/>
                <w:kern w:val="0"/>
                <w:sz w:val="24"/>
                <w:szCs w:val="24"/>
                <w:highlight w:val="none"/>
                <w:u w:val="none"/>
                <w:lang w:val="en-US" w:eastAsia="zh-CN" w:bidi="ar"/>
              </w:rPr>
              <w:t>得5分；</w:t>
            </w:r>
            <w:r>
              <w:rPr>
                <w:rFonts w:hint="default" w:ascii="Times New Roman" w:hAnsi="Times New Roman" w:eastAsia="宋体" w:cs="Times New Roman"/>
                <w:i w:val="0"/>
                <w:iCs w:val="0"/>
                <w:color w:val="000000"/>
                <w:kern w:val="0"/>
                <w:sz w:val="24"/>
                <w:szCs w:val="24"/>
                <w:highlight w:val="none"/>
                <w:u w:val="none"/>
                <w:lang w:val="en-US" w:eastAsia="zh-CN" w:bidi="ar"/>
              </w:rPr>
              <w:t>20-30万</w:t>
            </w:r>
            <w:r>
              <w:rPr>
                <w:rFonts w:hint="default" w:ascii="Times New Roman" w:hAnsi="Times New Roman" w:cs="Times New Roman"/>
                <w:i w:val="0"/>
                <w:iCs w:val="0"/>
                <w:color w:val="000000"/>
                <w:kern w:val="0"/>
                <w:sz w:val="24"/>
                <w:szCs w:val="24"/>
                <w:highlight w:val="none"/>
                <w:u w:val="none"/>
                <w:lang w:val="en-US" w:eastAsia="zh-CN" w:bidi="ar"/>
              </w:rPr>
              <w:t>得3分；</w:t>
            </w:r>
            <w:r>
              <w:rPr>
                <w:rFonts w:hint="default" w:ascii="Times New Roman" w:hAnsi="Times New Roman" w:eastAsia="宋体" w:cs="Times New Roman"/>
                <w:i w:val="0"/>
                <w:iCs w:val="0"/>
                <w:color w:val="000000"/>
                <w:kern w:val="0"/>
                <w:sz w:val="24"/>
                <w:szCs w:val="24"/>
                <w:highlight w:val="none"/>
                <w:u w:val="none"/>
                <w:lang w:val="en-US" w:eastAsia="zh-CN" w:bidi="ar"/>
              </w:rPr>
              <w:t>10-20万</w:t>
            </w:r>
            <w:r>
              <w:rPr>
                <w:rFonts w:hint="default" w:ascii="Times New Roman" w:hAnsi="Times New Roman" w:cs="Times New Roman"/>
                <w:i w:val="0"/>
                <w:iCs w:val="0"/>
                <w:color w:val="000000"/>
                <w:kern w:val="0"/>
                <w:sz w:val="24"/>
                <w:szCs w:val="24"/>
                <w:highlight w:val="none"/>
                <w:u w:val="none"/>
                <w:lang w:val="en-US" w:eastAsia="zh-CN" w:bidi="ar"/>
              </w:rPr>
              <w:t>得2分</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2F46ED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5分</w:t>
            </w:r>
          </w:p>
        </w:tc>
      </w:tr>
      <w:tr w14:paraId="685D3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1285F7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7</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14:paraId="2CC121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报价（10分）</w:t>
            </w:r>
          </w:p>
        </w:tc>
        <w:tc>
          <w:tcPr>
            <w:tcW w:w="4590" w:type="dxa"/>
            <w:tcBorders>
              <w:top w:val="single" w:color="000000" w:sz="4" w:space="0"/>
              <w:left w:val="single" w:color="000000" w:sz="4" w:space="0"/>
              <w:bottom w:val="single" w:color="000000" w:sz="4" w:space="0"/>
              <w:right w:val="single" w:color="000000" w:sz="4" w:space="0"/>
            </w:tcBorders>
            <w:noWrap w:val="0"/>
            <w:vAlign w:val="center"/>
          </w:tcPr>
          <w:p w14:paraId="6796048C">
            <w:pPr>
              <w:widowControl/>
              <w:numPr>
                <w:ilvl w:val="0"/>
                <w:numId w:val="8"/>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报价是否超过预算；</w:t>
            </w:r>
          </w:p>
          <w:p w14:paraId="518C47DC">
            <w:pPr>
              <w:widowControl/>
              <w:numPr>
                <w:ilvl w:val="0"/>
                <w:numId w:val="8"/>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报价有无缺项和漏项；</w:t>
            </w:r>
          </w:p>
          <w:p w14:paraId="70713968">
            <w:pPr>
              <w:widowControl/>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最后报价最低的供应商的价格为磋商基准价。</w:t>
            </w:r>
          </w:p>
          <w:p w14:paraId="30223B0A">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sz w:val="24"/>
                <w:szCs w:val="24"/>
                <w:highlight w:val="none"/>
                <w:lang w:eastAsia="zh-CN"/>
              </w:rPr>
              <w:t>项目</w:t>
            </w:r>
            <w:r>
              <w:rPr>
                <w:rFonts w:hint="eastAsia" w:ascii="宋体" w:hAnsi="宋体" w:eastAsia="宋体" w:cs="宋体"/>
                <w:sz w:val="24"/>
                <w:szCs w:val="24"/>
                <w:highlight w:val="none"/>
              </w:rPr>
              <w:t>报价得分=（</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基准价/</w:t>
            </w:r>
            <w:r>
              <w:rPr>
                <w:rFonts w:hint="eastAsia" w:ascii="宋体" w:hAnsi="宋体" w:eastAsia="宋体" w:cs="宋体"/>
                <w:sz w:val="24"/>
                <w:szCs w:val="24"/>
                <w:highlight w:val="none"/>
                <w:lang w:val="en-US" w:eastAsia="zh-CN"/>
              </w:rPr>
              <w:t>最后磋商</w:t>
            </w:r>
            <w:r>
              <w:rPr>
                <w:rFonts w:hint="eastAsia" w:ascii="宋体" w:hAnsi="宋体" w:eastAsia="宋体" w:cs="宋体"/>
                <w:sz w:val="24"/>
                <w:szCs w:val="24"/>
                <w:highlight w:val="none"/>
              </w:rPr>
              <w:t>报价）×</w:t>
            </w:r>
            <w:r>
              <w:rPr>
                <w:rFonts w:hint="eastAsia" w:ascii="宋体" w:hAnsi="宋体" w:eastAsia="宋体" w:cs="宋体"/>
                <w:sz w:val="24"/>
                <w:szCs w:val="24"/>
                <w:highlight w:val="none"/>
                <w:lang w:val="en-US" w:eastAsia="zh-CN"/>
              </w:rPr>
              <w:t>价格权值</w:t>
            </w:r>
            <w:r>
              <w:rPr>
                <w:rFonts w:hint="eastAsia" w:ascii="宋体" w:hAnsi="宋体" w:eastAsia="宋体" w:cs="宋体"/>
                <w:sz w:val="24"/>
                <w:szCs w:val="24"/>
                <w:highlight w:val="none"/>
              </w:rPr>
              <w:t>×100。</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14:paraId="6ED240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10分</w:t>
            </w:r>
          </w:p>
        </w:tc>
      </w:tr>
    </w:tbl>
    <w:p w14:paraId="578AEE25">
      <w:pPr>
        <w:pStyle w:val="19"/>
        <w:widowControl/>
        <w:spacing w:line="600" w:lineRule="exact"/>
        <w:ind w:firstLine="560"/>
        <w:rPr>
          <w:rFonts w:hint="eastAsia" w:ascii="仿宋_GB2312" w:hAnsi="黑体" w:eastAsia="仿宋_GB2312"/>
          <w:sz w:val="28"/>
          <w:szCs w:val="28"/>
          <w:highlight w:val="none"/>
        </w:rPr>
      </w:pPr>
    </w:p>
    <w:p w14:paraId="50F4303C">
      <w:pPr>
        <w:pStyle w:val="19"/>
        <w:widowControl/>
        <w:spacing w:line="600" w:lineRule="exact"/>
        <w:ind w:firstLine="560"/>
        <w:rPr>
          <w:rFonts w:hint="eastAsia" w:ascii="仿宋_GB2312" w:hAnsi="黑体" w:eastAsia="仿宋_GB2312"/>
          <w:sz w:val="28"/>
          <w:szCs w:val="28"/>
          <w:highlight w:val="none"/>
        </w:rPr>
      </w:pPr>
    </w:p>
    <w:p w14:paraId="522C74D7">
      <w:pPr>
        <w:pStyle w:val="19"/>
        <w:widowControl/>
        <w:numPr>
          <w:ilvl w:val="0"/>
          <w:numId w:val="5"/>
        </w:numPr>
        <w:spacing w:line="600" w:lineRule="exact"/>
        <w:ind w:firstLineChars="0"/>
        <w:outlineLvl w:val="1"/>
        <w:rPr>
          <w:rFonts w:ascii="仿宋_GB2312" w:hAnsi="黑体" w:eastAsia="仿宋_GB2312"/>
          <w:sz w:val="28"/>
          <w:szCs w:val="28"/>
          <w:highlight w:val="none"/>
        </w:rPr>
      </w:pPr>
      <w:bookmarkStart w:id="20" w:name="_Toc1803597530"/>
      <w:r>
        <w:rPr>
          <w:rFonts w:hint="eastAsia" w:ascii="仿宋_GB2312" w:hAnsi="黑体" w:eastAsia="仿宋_GB2312"/>
          <w:sz w:val="28"/>
          <w:szCs w:val="28"/>
          <w:highlight w:val="none"/>
        </w:rPr>
        <w:t>成交通知</w:t>
      </w:r>
      <w:bookmarkEnd w:id="20"/>
    </w:p>
    <w:p w14:paraId="52D16B78">
      <w:pPr>
        <w:pStyle w:val="19"/>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采购人根据评分情况，按照评审得分由高到低顺序确定成交候选供应商。</w:t>
      </w:r>
    </w:p>
    <w:p w14:paraId="5C7D3481">
      <w:pPr>
        <w:widowControl/>
        <w:spacing w:line="600" w:lineRule="exact"/>
        <w:rPr>
          <w:rFonts w:ascii="仿宋_GB2312" w:hAnsi="黑体" w:eastAsia="仿宋_GB2312"/>
          <w:sz w:val="28"/>
          <w:szCs w:val="28"/>
          <w:highlight w:val="none"/>
        </w:rPr>
      </w:pPr>
    </w:p>
    <w:p w14:paraId="1B5650EF">
      <w:pPr>
        <w:pStyle w:val="19"/>
        <w:widowControl/>
        <w:numPr>
          <w:ilvl w:val="0"/>
          <w:numId w:val="1"/>
        </w:numPr>
        <w:spacing w:line="600" w:lineRule="exact"/>
        <w:ind w:firstLineChars="0"/>
        <w:jc w:val="center"/>
        <w:outlineLvl w:val="0"/>
        <w:rPr>
          <w:rFonts w:ascii="仿宋_GB2312" w:hAnsi="黑体" w:eastAsia="仿宋_GB2312"/>
          <w:b/>
          <w:sz w:val="28"/>
          <w:szCs w:val="28"/>
          <w:highlight w:val="none"/>
        </w:rPr>
      </w:pPr>
      <w:bookmarkStart w:id="21" w:name="_Toc1120778703"/>
      <w:r>
        <w:rPr>
          <w:rFonts w:hint="eastAsia" w:ascii="仿宋_GB2312" w:hAnsi="黑体" w:eastAsia="仿宋_GB2312"/>
          <w:b/>
          <w:sz w:val="28"/>
          <w:szCs w:val="28"/>
          <w:highlight w:val="none"/>
        </w:rPr>
        <w:t>响应文件要求</w:t>
      </w:r>
      <w:bookmarkEnd w:id="21"/>
    </w:p>
    <w:p w14:paraId="4D00EAC3">
      <w:pPr>
        <w:pStyle w:val="19"/>
        <w:numPr>
          <w:ilvl w:val="0"/>
          <w:numId w:val="9"/>
        </w:numPr>
        <w:spacing w:line="600" w:lineRule="exact"/>
        <w:ind w:firstLineChars="0"/>
        <w:outlineLvl w:val="1"/>
        <w:rPr>
          <w:rFonts w:ascii="仿宋_GB2312" w:hAnsi="黑体" w:eastAsia="仿宋_GB2312"/>
          <w:b/>
          <w:bCs/>
          <w:sz w:val="28"/>
          <w:szCs w:val="28"/>
          <w:highlight w:val="none"/>
        </w:rPr>
      </w:pPr>
      <w:bookmarkStart w:id="22" w:name="_Toc1641151045"/>
      <w:r>
        <w:rPr>
          <w:rFonts w:hint="eastAsia" w:ascii="仿宋_GB2312" w:hAnsi="黑体" w:eastAsia="仿宋_GB2312"/>
          <w:b/>
          <w:bCs/>
          <w:sz w:val="28"/>
          <w:szCs w:val="28"/>
          <w:highlight w:val="none"/>
        </w:rPr>
        <w:t>响应文件编制</w:t>
      </w:r>
      <w:bookmarkEnd w:id="22"/>
    </w:p>
    <w:p w14:paraId="56C2968D">
      <w:pPr>
        <w:pStyle w:val="19"/>
        <w:numPr>
          <w:ilvl w:val="0"/>
          <w:numId w:val="10"/>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供应商响应文件需包含以下部分：</w:t>
      </w:r>
    </w:p>
    <w:p w14:paraId="3D988F74">
      <w:pPr>
        <w:pStyle w:val="19"/>
        <w:numPr>
          <w:ilvl w:val="0"/>
          <w:numId w:val="11"/>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lang w:val="en-US" w:eastAsia="zh-CN"/>
        </w:rPr>
        <w:t>根据第三章《供应商须知》提供的供应商资质文件；</w:t>
      </w:r>
    </w:p>
    <w:p w14:paraId="3D3EA444">
      <w:pPr>
        <w:pStyle w:val="19"/>
        <w:numPr>
          <w:ilvl w:val="0"/>
          <w:numId w:val="11"/>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根据第二章《采购内容及要求》提供的服务方案；</w:t>
      </w:r>
    </w:p>
    <w:p w14:paraId="13E1CD41">
      <w:pPr>
        <w:pStyle w:val="19"/>
        <w:numPr>
          <w:ilvl w:val="0"/>
          <w:numId w:val="11"/>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报价文件。</w:t>
      </w:r>
    </w:p>
    <w:p w14:paraId="7CDCE03C">
      <w:pPr>
        <w:pStyle w:val="19"/>
        <w:numPr>
          <w:ilvl w:val="0"/>
          <w:numId w:val="10"/>
        </w:numPr>
        <w:spacing w:line="600" w:lineRule="exact"/>
        <w:ind w:left="0" w:firstLine="0" w:firstLineChars="0"/>
        <w:rPr>
          <w:rFonts w:ascii="仿宋_GB2312" w:hAnsi="黑体" w:eastAsia="仿宋_GB2312"/>
          <w:sz w:val="28"/>
          <w:szCs w:val="28"/>
          <w:highlight w:val="none"/>
        </w:rPr>
      </w:pPr>
      <w:r>
        <w:rPr>
          <w:rFonts w:hint="eastAsia" w:ascii="仿宋_GB2312" w:hAnsi="黑体" w:eastAsia="仿宋_GB2312"/>
          <w:sz w:val="28"/>
          <w:szCs w:val="28"/>
          <w:highlight w:val="none"/>
        </w:rPr>
        <w:t>供应商应准备</w:t>
      </w:r>
      <w:r>
        <w:rPr>
          <w:rFonts w:hint="eastAsia" w:ascii="仿宋_GB2312" w:hAnsi="黑体" w:eastAsia="仿宋_GB2312"/>
          <w:sz w:val="28"/>
          <w:szCs w:val="28"/>
          <w:highlight w:val="none"/>
          <w:lang w:val="en-US" w:eastAsia="zh-CN"/>
        </w:rPr>
        <w:t>3</w:t>
      </w:r>
      <w:r>
        <w:rPr>
          <w:rFonts w:hint="eastAsia" w:ascii="仿宋_GB2312" w:hAnsi="黑体" w:eastAsia="仿宋_GB2312"/>
          <w:sz w:val="28"/>
          <w:szCs w:val="28"/>
          <w:highlight w:val="none"/>
        </w:rPr>
        <w:t>份响应文件，每份响应文件均需加盖供应商公章</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lang w:val="en-US" w:eastAsia="zh-CN"/>
        </w:rPr>
        <w:t>以及1份盖章响应文件的扫描件（优盘）。</w:t>
      </w:r>
    </w:p>
    <w:p w14:paraId="31565E47">
      <w:pPr>
        <w:pStyle w:val="19"/>
        <w:numPr>
          <w:ilvl w:val="0"/>
          <w:numId w:val="10"/>
        </w:numPr>
        <w:spacing w:line="600" w:lineRule="exact"/>
        <w:ind w:left="0" w:firstLine="0" w:firstLineChars="0"/>
        <w:rPr>
          <w:rFonts w:ascii="仿宋_GB2312" w:hAnsi="黑体" w:eastAsia="仿宋_GB2312"/>
          <w:sz w:val="28"/>
          <w:szCs w:val="28"/>
          <w:highlight w:val="none"/>
        </w:rPr>
      </w:pPr>
      <w:r>
        <w:rPr>
          <w:rFonts w:hint="eastAsia" w:ascii="仿宋_GB2312" w:hAnsi="黑体" w:eastAsia="仿宋_GB2312"/>
          <w:sz w:val="28"/>
          <w:szCs w:val="28"/>
          <w:highlight w:val="none"/>
        </w:rPr>
        <w:t>所有响应文件均采用封袋整体密封，在规定的</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时间前不得启封。在封袋正面标明项目名称、供应商名称等内容。</w:t>
      </w:r>
    </w:p>
    <w:p w14:paraId="13558C2A">
      <w:pPr>
        <w:pStyle w:val="19"/>
        <w:numPr>
          <w:ilvl w:val="0"/>
          <w:numId w:val="9"/>
        </w:numPr>
        <w:spacing w:line="600" w:lineRule="exact"/>
        <w:ind w:firstLineChars="0"/>
        <w:outlineLvl w:val="1"/>
        <w:rPr>
          <w:rFonts w:ascii="仿宋_GB2312" w:hAnsi="黑体" w:eastAsia="仿宋_GB2312"/>
          <w:b/>
          <w:bCs/>
          <w:sz w:val="28"/>
          <w:szCs w:val="28"/>
          <w:highlight w:val="none"/>
        </w:rPr>
      </w:pPr>
      <w:bookmarkStart w:id="23" w:name="_Toc1913614940"/>
      <w:r>
        <w:rPr>
          <w:rFonts w:hint="eastAsia" w:ascii="仿宋_GB2312" w:hAnsi="黑体" w:eastAsia="仿宋_GB2312"/>
          <w:b/>
          <w:bCs/>
          <w:sz w:val="28"/>
          <w:szCs w:val="28"/>
          <w:highlight w:val="none"/>
        </w:rPr>
        <w:t>响应文件有效期</w:t>
      </w:r>
      <w:bookmarkEnd w:id="23"/>
    </w:p>
    <w:p w14:paraId="76AEB4A5">
      <w:pPr>
        <w:pStyle w:val="19"/>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有效期至竞争性磋商结束之日，对成交供应商，延长至合同执行完毕时止。</w:t>
      </w:r>
    </w:p>
    <w:p w14:paraId="32E7F9B0">
      <w:pPr>
        <w:pStyle w:val="19"/>
        <w:numPr>
          <w:ilvl w:val="0"/>
          <w:numId w:val="9"/>
        </w:numPr>
        <w:spacing w:line="600" w:lineRule="exact"/>
        <w:ind w:firstLineChars="0"/>
        <w:outlineLvl w:val="1"/>
        <w:rPr>
          <w:rFonts w:ascii="仿宋_GB2312" w:hAnsi="黑体" w:eastAsia="仿宋_GB2312"/>
          <w:b/>
          <w:bCs/>
          <w:sz w:val="28"/>
          <w:szCs w:val="28"/>
          <w:highlight w:val="none"/>
        </w:rPr>
      </w:pPr>
      <w:bookmarkStart w:id="24" w:name="_Toc986751627"/>
      <w:r>
        <w:rPr>
          <w:rFonts w:hint="eastAsia" w:ascii="仿宋_GB2312" w:hAnsi="黑体" w:eastAsia="仿宋_GB2312"/>
          <w:b/>
          <w:bCs/>
          <w:sz w:val="28"/>
          <w:szCs w:val="28"/>
          <w:highlight w:val="none"/>
        </w:rPr>
        <w:t>响应文件递交</w:t>
      </w:r>
      <w:bookmarkEnd w:id="24"/>
      <w:bookmarkStart w:id="25" w:name="_GoBack"/>
      <w:bookmarkEnd w:id="25"/>
    </w:p>
    <w:p w14:paraId="2FADA413">
      <w:pPr>
        <w:widowControl/>
        <w:spacing w:line="600" w:lineRule="exact"/>
        <w:ind w:firstLine="560" w:firstLineChars="200"/>
        <w:jc w:val="left"/>
        <w:rPr>
          <w:rFonts w:ascii="仿宋_GB2312" w:hAnsi="黑体" w:eastAsia="仿宋_GB2312"/>
          <w:sz w:val="28"/>
          <w:szCs w:val="28"/>
          <w:highlight w:val="none"/>
        </w:rPr>
      </w:pPr>
      <w:r>
        <w:rPr>
          <w:rFonts w:hint="eastAsia" w:ascii="仿宋_GB2312" w:hAnsi="黑体" w:eastAsia="仿宋_GB2312"/>
          <w:sz w:val="28"/>
          <w:szCs w:val="28"/>
          <w:highlight w:val="none"/>
        </w:rPr>
        <w:t>供应商应将响应文件在截止时间前通过邮寄或当面提交的形式送至提交地点。在截止时间后送达的响应文件为无效文件，采购人将予以拒收。</w:t>
      </w:r>
    </w:p>
    <w:sectPr>
      <w:footerReference r:id="rId9" w:type="first"/>
      <w:headerReference r:id="rId7" w:type="default"/>
      <w:footerReference r:id="rId8"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B8A6">
    <w:pPr>
      <w:pStyle w:val="6"/>
      <w:jc w:val="center"/>
    </w:pPr>
  </w:p>
  <w:p w14:paraId="0418CD7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2ABDE">
    <w:pPr>
      <w:pStyle w:val="6"/>
    </w:pPr>
    <w:r>
      <w:rPr>
        <w:rFonts w:hint="eastAsia"/>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17665"/>
      <w:docPartObj>
        <w:docPartGallery w:val="autotext"/>
      </w:docPartObj>
    </w:sdtPr>
    <w:sdtContent>
      <w:p w14:paraId="27D5545C">
        <w:pPr>
          <w:pStyle w:val="6"/>
          <w:jc w:val="center"/>
        </w:pPr>
        <w:r>
          <w:fldChar w:fldCharType="begin"/>
        </w:r>
        <w:r>
          <w:instrText xml:space="preserve"> PAGE   \* MERGEFORMAT </w:instrText>
        </w:r>
        <w:r>
          <w:fldChar w:fldCharType="separate"/>
        </w:r>
        <w:r>
          <w:rPr>
            <w:lang w:val="zh-CN"/>
          </w:rPr>
          <w:t>2</w:t>
        </w:r>
        <w:r>
          <w:rPr>
            <w:lang w:val="zh-CN"/>
          </w:rPr>
          <w:fldChar w:fldCharType="end"/>
        </w:r>
      </w:p>
    </w:sdtContent>
  </w:sdt>
  <w:p w14:paraId="4AB7336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00A9E">
    <w:pPr>
      <w:pStyle w:val="6"/>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B7AA5">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25DA6">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84F33">
    <w:pPr>
      <w:pStyle w:val="7"/>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F7586"/>
    <w:multiLevelType w:val="multilevel"/>
    <w:tmpl w:val="093F7586"/>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95676D"/>
    <w:multiLevelType w:val="multilevel"/>
    <w:tmpl w:val="1095676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5F61F7"/>
    <w:multiLevelType w:val="multilevel"/>
    <w:tmpl w:val="165F61F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9CD74E4"/>
    <w:multiLevelType w:val="multilevel"/>
    <w:tmpl w:val="19CD74E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AFA1C50"/>
    <w:multiLevelType w:val="multilevel"/>
    <w:tmpl w:val="4AFA1C5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C77BCE"/>
    <w:multiLevelType w:val="singleLevel"/>
    <w:tmpl w:val="4FC77BCE"/>
    <w:lvl w:ilvl="0" w:tentative="0">
      <w:start w:val="1"/>
      <w:numFmt w:val="decimal"/>
      <w:suff w:val="nothing"/>
      <w:lvlText w:val="（%1）"/>
      <w:lvlJc w:val="left"/>
    </w:lvl>
  </w:abstractNum>
  <w:abstractNum w:abstractNumId="6">
    <w:nsid w:val="65CE6123"/>
    <w:multiLevelType w:val="multilevel"/>
    <w:tmpl w:val="65CE612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61B673C"/>
    <w:multiLevelType w:val="multilevel"/>
    <w:tmpl w:val="661B673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88D2683"/>
    <w:multiLevelType w:val="multilevel"/>
    <w:tmpl w:val="688D2683"/>
    <w:lvl w:ilvl="0" w:tentative="0">
      <w:start w:val="1"/>
      <w:numFmt w:val="japaneseCounting"/>
      <w:lvlText w:val="第%1章"/>
      <w:lvlJc w:val="left"/>
      <w:pPr>
        <w:ind w:left="1050"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E255D40"/>
    <w:multiLevelType w:val="multilevel"/>
    <w:tmpl w:val="6E255D40"/>
    <w:lvl w:ilvl="0" w:tentative="0">
      <w:start w:val="1"/>
      <w:numFmt w:val="decimal"/>
      <w:lvlText w:val="%1、"/>
      <w:lvlJc w:val="left"/>
      <w:pPr>
        <w:ind w:left="420" w:hanging="420"/>
      </w:pPr>
      <w:rPr>
        <w:rFonts w:hint="eastAsia"/>
        <w:spacing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03E4335"/>
    <w:multiLevelType w:val="multilevel"/>
    <w:tmpl w:val="703E4335"/>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
  </w:num>
  <w:num w:numId="3">
    <w:abstractNumId w:val="0"/>
  </w:num>
  <w:num w:numId="4">
    <w:abstractNumId w:val="2"/>
  </w:num>
  <w:num w:numId="5">
    <w:abstractNumId w:val="6"/>
  </w:num>
  <w:num w:numId="6">
    <w:abstractNumId w:val="10"/>
  </w:num>
  <w:num w:numId="7">
    <w:abstractNumId w:val="7"/>
  </w:num>
  <w:num w:numId="8">
    <w:abstractNumId w:val="5"/>
  </w:num>
  <w:num w:numId="9">
    <w:abstractNumId w:val="4"/>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jgyNzA2NjgwOWZkMTAzZjkzMWRmZjY2ODUwYTEifQ=="/>
  </w:docVars>
  <w:rsids>
    <w:rsidRoot w:val="0070291F"/>
    <w:rsid w:val="00027AB8"/>
    <w:rsid w:val="0004264B"/>
    <w:rsid w:val="0006715A"/>
    <w:rsid w:val="00071427"/>
    <w:rsid w:val="000809C2"/>
    <w:rsid w:val="00081F21"/>
    <w:rsid w:val="00082390"/>
    <w:rsid w:val="00091C30"/>
    <w:rsid w:val="000949CC"/>
    <w:rsid w:val="000B5182"/>
    <w:rsid w:val="000B6637"/>
    <w:rsid w:val="000C6C05"/>
    <w:rsid w:val="001335BD"/>
    <w:rsid w:val="001420B7"/>
    <w:rsid w:val="00142BAC"/>
    <w:rsid w:val="001739A2"/>
    <w:rsid w:val="001C1CAC"/>
    <w:rsid w:val="001E5154"/>
    <w:rsid w:val="001F3D88"/>
    <w:rsid w:val="00217834"/>
    <w:rsid w:val="00240A60"/>
    <w:rsid w:val="0025092D"/>
    <w:rsid w:val="00272D8F"/>
    <w:rsid w:val="002772BE"/>
    <w:rsid w:val="00285C5D"/>
    <w:rsid w:val="00294C99"/>
    <w:rsid w:val="002A094E"/>
    <w:rsid w:val="002A10A0"/>
    <w:rsid w:val="002A5DCB"/>
    <w:rsid w:val="002C131F"/>
    <w:rsid w:val="002C3DCC"/>
    <w:rsid w:val="002D0238"/>
    <w:rsid w:val="00300268"/>
    <w:rsid w:val="00317795"/>
    <w:rsid w:val="00355E4B"/>
    <w:rsid w:val="003563C8"/>
    <w:rsid w:val="00360487"/>
    <w:rsid w:val="00364923"/>
    <w:rsid w:val="00366CA9"/>
    <w:rsid w:val="00372C5C"/>
    <w:rsid w:val="00376FEB"/>
    <w:rsid w:val="003823B0"/>
    <w:rsid w:val="00411F3B"/>
    <w:rsid w:val="00431D14"/>
    <w:rsid w:val="00451304"/>
    <w:rsid w:val="0047244F"/>
    <w:rsid w:val="00480A32"/>
    <w:rsid w:val="00491FEE"/>
    <w:rsid w:val="004F137C"/>
    <w:rsid w:val="00545B71"/>
    <w:rsid w:val="005603BE"/>
    <w:rsid w:val="00561A4F"/>
    <w:rsid w:val="00564C26"/>
    <w:rsid w:val="00566FF4"/>
    <w:rsid w:val="005717D7"/>
    <w:rsid w:val="005908BC"/>
    <w:rsid w:val="005A63F0"/>
    <w:rsid w:val="005C5498"/>
    <w:rsid w:val="005F29A3"/>
    <w:rsid w:val="005F3DA1"/>
    <w:rsid w:val="005F6BAB"/>
    <w:rsid w:val="0060213A"/>
    <w:rsid w:val="00610531"/>
    <w:rsid w:val="00614232"/>
    <w:rsid w:val="006212B2"/>
    <w:rsid w:val="0062131C"/>
    <w:rsid w:val="00654CAB"/>
    <w:rsid w:val="00672C26"/>
    <w:rsid w:val="00677ACE"/>
    <w:rsid w:val="006875E8"/>
    <w:rsid w:val="006A0672"/>
    <w:rsid w:val="006A41EE"/>
    <w:rsid w:val="006D7A75"/>
    <w:rsid w:val="006F36D4"/>
    <w:rsid w:val="0070291F"/>
    <w:rsid w:val="00757995"/>
    <w:rsid w:val="007674C2"/>
    <w:rsid w:val="007928BD"/>
    <w:rsid w:val="007947ED"/>
    <w:rsid w:val="00794AD4"/>
    <w:rsid w:val="0079659C"/>
    <w:rsid w:val="007C160D"/>
    <w:rsid w:val="007C551A"/>
    <w:rsid w:val="007F5116"/>
    <w:rsid w:val="00842273"/>
    <w:rsid w:val="00855C53"/>
    <w:rsid w:val="0085770A"/>
    <w:rsid w:val="008832CA"/>
    <w:rsid w:val="008874CA"/>
    <w:rsid w:val="008A1937"/>
    <w:rsid w:val="008A5903"/>
    <w:rsid w:val="008C4DE6"/>
    <w:rsid w:val="008D3F27"/>
    <w:rsid w:val="008E1CFD"/>
    <w:rsid w:val="009022B4"/>
    <w:rsid w:val="00915312"/>
    <w:rsid w:val="00920AA9"/>
    <w:rsid w:val="009240F4"/>
    <w:rsid w:val="0094251B"/>
    <w:rsid w:val="00945D1F"/>
    <w:rsid w:val="009474B7"/>
    <w:rsid w:val="00961FA0"/>
    <w:rsid w:val="009A6CA7"/>
    <w:rsid w:val="009B39CA"/>
    <w:rsid w:val="009C15BA"/>
    <w:rsid w:val="009C68A5"/>
    <w:rsid w:val="009E59E7"/>
    <w:rsid w:val="009F0417"/>
    <w:rsid w:val="009F67AE"/>
    <w:rsid w:val="00A32715"/>
    <w:rsid w:val="00A34932"/>
    <w:rsid w:val="00A873B0"/>
    <w:rsid w:val="00A90F73"/>
    <w:rsid w:val="00A921DD"/>
    <w:rsid w:val="00A9786C"/>
    <w:rsid w:val="00AB58D2"/>
    <w:rsid w:val="00AC6794"/>
    <w:rsid w:val="00AE2BBF"/>
    <w:rsid w:val="00AF4321"/>
    <w:rsid w:val="00AF7864"/>
    <w:rsid w:val="00B05E6B"/>
    <w:rsid w:val="00B07870"/>
    <w:rsid w:val="00B07B07"/>
    <w:rsid w:val="00B165F5"/>
    <w:rsid w:val="00B41794"/>
    <w:rsid w:val="00B438A2"/>
    <w:rsid w:val="00B47881"/>
    <w:rsid w:val="00B959CF"/>
    <w:rsid w:val="00BC7310"/>
    <w:rsid w:val="00BD019A"/>
    <w:rsid w:val="00BE1962"/>
    <w:rsid w:val="00C007E2"/>
    <w:rsid w:val="00C01F33"/>
    <w:rsid w:val="00C02803"/>
    <w:rsid w:val="00C2758B"/>
    <w:rsid w:val="00C303BF"/>
    <w:rsid w:val="00C600EC"/>
    <w:rsid w:val="00C65F0B"/>
    <w:rsid w:val="00CA2B1E"/>
    <w:rsid w:val="00CA368F"/>
    <w:rsid w:val="00CB3732"/>
    <w:rsid w:val="00CB7C39"/>
    <w:rsid w:val="00CD056C"/>
    <w:rsid w:val="00CF1F90"/>
    <w:rsid w:val="00D020E9"/>
    <w:rsid w:val="00D124C6"/>
    <w:rsid w:val="00D153A8"/>
    <w:rsid w:val="00D22647"/>
    <w:rsid w:val="00D43EA6"/>
    <w:rsid w:val="00D45A74"/>
    <w:rsid w:val="00D7193C"/>
    <w:rsid w:val="00D77F70"/>
    <w:rsid w:val="00D97735"/>
    <w:rsid w:val="00DB19D3"/>
    <w:rsid w:val="00DC7F73"/>
    <w:rsid w:val="00DD0365"/>
    <w:rsid w:val="00DD5B38"/>
    <w:rsid w:val="00DE4A0A"/>
    <w:rsid w:val="00E25D1C"/>
    <w:rsid w:val="00E4452B"/>
    <w:rsid w:val="00E57B60"/>
    <w:rsid w:val="00E66348"/>
    <w:rsid w:val="00E67367"/>
    <w:rsid w:val="00E7482B"/>
    <w:rsid w:val="00E93324"/>
    <w:rsid w:val="00EA0872"/>
    <w:rsid w:val="00EE1406"/>
    <w:rsid w:val="00EF16FF"/>
    <w:rsid w:val="00EF70E7"/>
    <w:rsid w:val="00F254CA"/>
    <w:rsid w:val="00F26367"/>
    <w:rsid w:val="00F96553"/>
    <w:rsid w:val="00FB7622"/>
    <w:rsid w:val="00FF4076"/>
    <w:rsid w:val="028021E2"/>
    <w:rsid w:val="02BC7B5E"/>
    <w:rsid w:val="035E6DD6"/>
    <w:rsid w:val="06BC6527"/>
    <w:rsid w:val="0AC967EA"/>
    <w:rsid w:val="0C8678C1"/>
    <w:rsid w:val="0DD158FD"/>
    <w:rsid w:val="0EE505E5"/>
    <w:rsid w:val="11836E95"/>
    <w:rsid w:val="154C0CC3"/>
    <w:rsid w:val="1677582F"/>
    <w:rsid w:val="19815FCF"/>
    <w:rsid w:val="1BBAF4E0"/>
    <w:rsid w:val="1BC4458A"/>
    <w:rsid w:val="1BC613FA"/>
    <w:rsid w:val="1C204226"/>
    <w:rsid w:val="1E25719A"/>
    <w:rsid w:val="21FC60F3"/>
    <w:rsid w:val="2ADB05F6"/>
    <w:rsid w:val="2BE3211A"/>
    <w:rsid w:val="2C4900D0"/>
    <w:rsid w:val="2EBF2353"/>
    <w:rsid w:val="30D53FF2"/>
    <w:rsid w:val="32946EAA"/>
    <w:rsid w:val="37305FF2"/>
    <w:rsid w:val="37FE6838"/>
    <w:rsid w:val="38341229"/>
    <w:rsid w:val="3B2F02AB"/>
    <w:rsid w:val="3EA70C2A"/>
    <w:rsid w:val="41941DCE"/>
    <w:rsid w:val="425E0452"/>
    <w:rsid w:val="435A7F52"/>
    <w:rsid w:val="468F0A5F"/>
    <w:rsid w:val="49E57820"/>
    <w:rsid w:val="4A2F3EE7"/>
    <w:rsid w:val="4ADD3B36"/>
    <w:rsid w:val="4AF60EA8"/>
    <w:rsid w:val="4C442CDD"/>
    <w:rsid w:val="4FBC1A62"/>
    <w:rsid w:val="56DD72B6"/>
    <w:rsid w:val="57F52770"/>
    <w:rsid w:val="586562D5"/>
    <w:rsid w:val="59456951"/>
    <w:rsid w:val="5A380BBD"/>
    <w:rsid w:val="5EFEA0B5"/>
    <w:rsid w:val="604A609D"/>
    <w:rsid w:val="60D603D4"/>
    <w:rsid w:val="60DF1AAA"/>
    <w:rsid w:val="63FF5D76"/>
    <w:rsid w:val="68D5229E"/>
    <w:rsid w:val="6D8243CD"/>
    <w:rsid w:val="718C74F3"/>
    <w:rsid w:val="76592D83"/>
    <w:rsid w:val="793F3B2A"/>
    <w:rsid w:val="7BF145B3"/>
    <w:rsid w:val="7DAC3C15"/>
    <w:rsid w:val="7E09B616"/>
    <w:rsid w:val="7FFBBE3B"/>
    <w:rsid w:val="7FFDA6D4"/>
    <w:rsid w:val="95D58F63"/>
    <w:rsid w:val="BDFF6E09"/>
    <w:rsid w:val="D9D6CF26"/>
    <w:rsid w:val="DFF31EB9"/>
    <w:rsid w:val="EDFD33D1"/>
    <w:rsid w:val="F2BECEAE"/>
    <w:rsid w:val="F7FF0EEF"/>
    <w:rsid w:val="FDB7097F"/>
    <w:rsid w:val="FF77D570"/>
    <w:rsid w:val="FFD5B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before="160" w:after="80"/>
      <w:outlineLvl w:val="1"/>
    </w:pPr>
    <w:rPr>
      <w:rFonts w:ascii="Cambria" w:hAnsi="Cambria" w:eastAsia="宋体" w:cs="Times New Roman"/>
      <w:color w:val="366091"/>
      <w:sz w:val="40"/>
      <w:szCs w:val="4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semiHidden/>
    <w:unhideWhenUsed/>
    <w:qFormat/>
    <w:uiPriority w:val="99"/>
    <w:pPr>
      <w:jc w:val="left"/>
    </w:pPr>
  </w:style>
  <w:style w:type="paragraph" w:styleId="5">
    <w:name w:val="Balloon Text"/>
    <w:basedOn w:val="1"/>
    <w:link w:val="21"/>
    <w:semiHidden/>
    <w:unhideWhenUsed/>
    <w:qFormat/>
    <w:uiPriority w:val="99"/>
    <w:rPr>
      <w:sz w:val="18"/>
      <w:szCs w:val="18"/>
    </w:r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left"/>
    </w:pPr>
    <w:rPr>
      <w:sz w:val="18"/>
      <w:szCs w:val="18"/>
    </w:rPr>
  </w:style>
  <w:style w:type="paragraph" w:styleId="8">
    <w:name w:val="toc 1"/>
    <w:basedOn w:val="1"/>
    <w:next w:val="1"/>
    <w:unhideWhenUsed/>
    <w:qFormat/>
    <w:uiPriority w:val="39"/>
    <w:pPr>
      <w:tabs>
        <w:tab w:val="left" w:pos="1050"/>
        <w:tab w:val="right" w:leader="dot" w:pos="8296"/>
      </w:tabs>
      <w:jc w:val="center"/>
    </w:pPr>
    <w:rPr>
      <w:rFonts w:ascii="仿宋_GB2312" w:hAnsi="黑体" w:eastAsia="仿宋_GB2312"/>
      <w:b/>
      <w:sz w:val="44"/>
      <w:szCs w:val="44"/>
    </w:rPr>
  </w:style>
  <w:style w:type="paragraph" w:styleId="9">
    <w:name w:val="toc 2"/>
    <w:basedOn w:val="1"/>
    <w:next w:val="1"/>
    <w:unhideWhenUsed/>
    <w:qFormat/>
    <w:uiPriority w:val="39"/>
    <w:pPr>
      <w:ind w:left="420" w:leftChars="200"/>
    </w:p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annotation subject"/>
    <w:basedOn w:val="4"/>
    <w:next w:val="4"/>
    <w:link w:val="26"/>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FollowedHyperlink"/>
    <w:basedOn w:val="14"/>
    <w:semiHidden/>
    <w:unhideWhenUsed/>
    <w:qFormat/>
    <w:uiPriority w:val="99"/>
    <w:rPr>
      <w:color w:val="333333"/>
      <w:u w:val="none"/>
    </w:rPr>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styleId="18">
    <w:name w:val="annotation reference"/>
    <w:basedOn w:val="14"/>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批注文字 字符"/>
    <w:basedOn w:val="14"/>
    <w:link w:val="4"/>
    <w:semiHidden/>
    <w:qFormat/>
    <w:uiPriority w:val="99"/>
  </w:style>
  <w:style w:type="character" w:customStyle="1" w:styleId="21">
    <w:name w:val="批注框文本 字符"/>
    <w:basedOn w:val="14"/>
    <w:link w:val="5"/>
    <w:semiHidden/>
    <w:qFormat/>
    <w:uiPriority w:val="99"/>
    <w:rPr>
      <w:sz w:val="18"/>
      <w:szCs w:val="18"/>
    </w:rPr>
  </w:style>
  <w:style w:type="character" w:customStyle="1" w:styleId="22">
    <w:name w:val="标题 1 字符"/>
    <w:basedOn w:val="14"/>
    <w:link w:val="3"/>
    <w:qFormat/>
    <w:uiPriority w:val="9"/>
    <w:rPr>
      <w:b/>
      <w:bCs/>
      <w:kern w:val="44"/>
      <w:sz w:val="44"/>
      <w:szCs w:val="44"/>
    </w:rPr>
  </w:style>
  <w:style w:type="paragraph" w:customStyle="1" w:styleId="23">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4">
    <w:name w:val="页眉 字符"/>
    <w:basedOn w:val="14"/>
    <w:link w:val="7"/>
    <w:qFormat/>
    <w:uiPriority w:val="99"/>
    <w:rPr>
      <w:sz w:val="18"/>
      <w:szCs w:val="18"/>
    </w:rPr>
  </w:style>
  <w:style w:type="character" w:customStyle="1" w:styleId="25">
    <w:name w:val="页脚 字符"/>
    <w:basedOn w:val="14"/>
    <w:link w:val="6"/>
    <w:qFormat/>
    <w:uiPriority w:val="99"/>
    <w:rPr>
      <w:sz w:val="18"/>
      <w:szCs w:val="18"/>
    </w:rPr>
  </w:style>
  <w:style w:type="character" w:customStyle="1" w:styleId="26">
    <w:name w:val="批注主题 字符"/>
    <w:basedOn w:val="20"/>
    <w:link w:val="11"/>
    <w:semiHidden/>
    <w:qFormat/>
    <w:uiPriority w:val="99"/>
    <w:rPr>
      <w:b/>
      <w:bCs/>
    </w:rPr>
  </w:style>
  <w:style w:type="character" w:styleId="27">
    <w:name w:val="Placeholder Text"/>
    <w:basedOn w:val="1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9</Pages>
  <Words>2750</Words>
  <Characters>2818</Characters>
  <Lines>18</Lines>
  <Paragraphs>5</Paragraphs>
  <TotalTime>8</TotalTime>
  <ScaleCrop>false</ScaleCrop>
  <LinksUpToDate>false</LinksUpToDate>
  <CharactersWithSpaces>2859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2019-11-16T10:19:00Z</dcterms:created>
  <dc:creator>csindex_yuanchen</dc:creator>
  <cp:lastModifiedBy>zyxing</cp:lastModifiedBy>
  <cp:lastPrinted>2022-06-20T14:11:00Z</cp:lastPrinted>
  <dcterms:modified xsi:type="dcterms:W3CDTF">2026-06-18T17:47:28Z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D2E953705F264CA3A180159B3B655503</vt:lpwstr>
  </property>
  <property fmtid="{D5CDD505-2E9C-101B-9397-08002B2CF9AE}" pid="4" name="KSOTemplateDocerSaveRecord">
    <vt:lpwstr>eyJoZGlkIjoiMmVmYjVlYmNjNTM0NWFmODhmZGViOWYwYjFkOGU4OTIiLCJ1c2VySWQiOiI0MjgzMTc4NzcifQ==</vt:lpwstr>
  </property>
</Properties>
</file>