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16DEA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lang w:val="en-US" w:eastAsia="zh-CN"/>
        </w:rPr>
      </w:pPr>
    </w:p>
    <w:p w14:paraId="0C80952C">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lang w:val="en-US" w:eastAsia="zh-CN"/>
        </w:rPr>
      </w:pPr>
    </w:p>
    <w:p w14:paraId="0856E51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lang w:val="en-US" w:eastAsia="zh-CN"/>
        </w:rPr>
      </w:pPr>
    </w:p>
    <w:p w14:paraId="77CF51B8">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邀请函</w:t>
      </w:r>
    </w:p>
    <w:p w14:paraId="2EB5ED41">
      <w:pPr>
        <w:jc w:val="center"/>
        <w:rPr>
          <w:rFonts w:hint="eastAsia" w:ascii="黑体" w:hAnsi="黑体" w:eastAsia="黑体"/>
          <w:sz w:val="36"/>
          <w:szCs w:val="36"/>
          <w:highlight w:val="none"/>
          <w:lang w:eastAsia="zh-CN"/>
        </w:rPr>
      </w:pPr>
    </w:p>
    <w:p w14:paraId="1C237B50">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中证中小投资者服务中心就“零星办公室面积调减项目”进行竞争性磋商，现邀请贵公司参加磋商。具体要求见附件。</w:t>
      </w:r>
    </w:p>
    <w:p w14:paraId="51579932">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highlight w:val="none"/>
          <w:lang w:val="en-US" w:eastAsia="zh-CN"/>
        </w:rPr>
      </w:pPr>
    </w:p>
    <w:p w14:paraId="45DF8F3F">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附件：零星办公室面积调减项目竞争性磋商文件</w:t>
      </w:r>
    </w:p>
    <w:p w14:paraId="6F42C486">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right"/>
        <w:textAlignment w:val="auto"/>
        <w:rPr>
          <w:rFonts w:hint="eastAsia" w:ascii="仿宋" w:hAnsi="仿宋" w:eastAsia="仿宋" w:cs="仿宋"/>
          <w:sz w:val="32"/>
          <w:szCs w:val="32"/>
          <w:highlight w:val="none"/>
          <w:lang w:val="en-US" w:eastAsia="zh-CN"/>
        </w:rPr>
      </w:pPr>
    </w:p>
    <w:p w14:paraId="2D7CFDED">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right"/>
        <w:textAlignment w:val="auto"/>
        <w:rPr>
          <w:rFonts w:hint="eastAsia" w:ascii="仿宋" w:hAnsi="仿宋" w:eastAsia="仿宋" w:cs="仿宋"/>
          <w:sz w:val="32"/>
          <w:szCs w:val="32"/>
          <w:highlight w:val="none"/>
          <w:lang w:val="en-US" w:eastAsia="zh-CN"/>
        </w:rPr>
      </w:pPr>
    </w:p>
    <w:p w14:paraId="48492AE8">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righ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中证中小投资者服务中心有限责任公司</w:t>
      </w:r>
    </w:p>
    <w:p w14:paraId="5D13F7BE">
      <w:pPr>
        <w:keepNext w:val="0"/>
        <w:keepLines w:val="0"/>
        <w:pageBreakBefore w:val="0"/>
        <w:numPr>
          <w:ilvl w:val="0"/>
          <w:numId w:val="0"/>
        </w:numPr>
        <w:kinsoku/>
        <w:wordWrap w:val="0"/>
        <w:overflowPunct/>
        <w:topLinePunct w:val="0"/>
        <w:autoSpaceDE/>
        <w:autoSpaceDN/>
        <w:bidi w:val="0"/>
        <w:adjustRightInd/>
        <w:snapToGrid/>
        <w:spacing w:line="560" w:lineRule="exact"/>
        <w:ind w:firstLine="640" w:firstLineChars="200"/>
        <w:jc w:val="right"/>
        <w:textAlignment w:val="auto"/>
        <w:rPr>
          <w:rFonts w:hint="default" w:ascii="黑体" w:hAnsi="黑体" w:eastAsia="黑体"/>
          <w:sz w:val="36"/>
          <w:szCs w:val="36"/>
          <w:highlight w:val="none"/>
          <w:lang w:val="en-US"/>
        </w:rPr>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pPr>
      <w:r>
        <w:rPr>
          <w:rFonts w:hint="eastAsia" w:ascii="仿宋" w:hAnsi="仿宋" w:eastAsia="仿宋" w:cs="仿宋"/>
          <w:sz w:val="32"/>
          <w:szCs w:val="32"/>
          <w:highlight w:val="none"/>
          <w:lang w:val="en-US" w:eastAsia="zh-CN"/>
        </w:rPr>
        <w:t xml:space="preserve">2026年7月2日      </w:t>
      </w:r>
    </w:p>
    <w:p w14:paraId="5EDB08F2">
      <w:pPr>
        <w:jc w:val="center"/>
        <w:rPr>
          <w:rFonts w:hint="eastAsia" w:ascii="黑体" w:hAnsi="黑体" w:eastAsia="黑体"/>
          <w:b/>
          <w:sz w:val="36"/>
          <w:szCs w:val="36"/>
          <w:highlight w:val="none"/>
          <w:lang w:val="en-US" w:eastAsia="zh-CN"/>
        </w:rPr>
      </w:pPr>
    </w:p>
    <w:p w14:paraId="56CCE962">
      <w:pPr>
        <w:jc w:val="center"/>
        <w:rPr>
          <w:rFonts w:hint="eastAsia" w:ascii="黑体" w:hAnsi="黑体" w:eastAsia="黑体"/>
          <w:b/>
          <w:sz w:val="36"/>
          <w:szCs w:val="36"/>
          <w:highlight w:val="none"/>
          <w:lang w:val="en-US" w:eastAsia="zh-CN"/>
        </w:rPr>
      </w:pPr>
    </w:p>
    <w:p w14:paraId="66BA4555">
      <w:pPr>
        <w:jc w:val="center"/>
        <w:rPr>
          <w:rFonts w:hint="eastAsia" w:ascii="黑体" w:hAnsi="黑体" w:eastAsia="黑体"/>
          <w:b/>
          <w:sz w:val="36"/>
          <w:szCs w:val="36"/>
          <w:highlight w:val="none"/>
          <w:lang w:val="en-US" w:eastAsia="zh-CN"/>
        </w:rPr>
      </w:pPr>
    </w:p>
    <w:p w14:paraId="0DC74CDF">
      <w:pPr>
        <w:jc w:val="center"/>
        <w:rPr>
          <w:rFonts w:hint="eastAsia" w:ascii="黑体" w:hAnsi="黑体" w:eastAsia="黑体"/>
          <w:b/>
          <w:sz w:val="36"/>
          <w:szCs w:val="36"/>
          <w:highlight w:val="none"/>
          <w:lang w:val="en-US" w:eastAsia="zh-CN"/>
        </w:rPr>
      </w:pPr>
    </w:p>
    <w:p w14:paraId="5CE4A399">
      <w:pPr>
        <w:jc w:val="center"/>
        <w:rPr>
          <w:rFonts w:hint="eastAsia" w:ascii="黑体" w:hAnsi="黑体" w:eastAsia="黑体"/>
          <w:b/>
          <w:sz w:val="36"/>
          <w:szCs w:val="36"/>
          <w:highlight w:val="none"/>
          <w:lang w:val="en-US" w:eastAsia="zh-CN"/>
        </w:rPr>
      </w:pPr>
      <w:r>
        <w:rPr>
          <w:rFonts w:hint="eastAsia" w:ascii="黑体" w:hAnsi="黑体" w:eastAsia="黑体"/>
          <w:b/>
          <w:sz w:val="36"/>
          <w:szCs w:val="36"/>
          <w:highlight w:val="none"/>
          <w:lang w:val="en-US" w:eastAsia="zh-CN"/>
        </w:rPr>
        <w:t>中证中小投资者服务中心</w:t>
      </w:r>
    </w:p>
    <w:p w14:paraId="20E253FB">
      <w:pPr>
        <w:jc w:val="center"/>
        <w:rPr>
          <w:rFonts w:hint="eastAsia" w:ascii="黑体" w:hAnsi="黑体" w:eastAsia="黑体"/>
          <w:b/>
          <w:sz w:val="36"/>
          <w:szCs w:val="36"/>
          <w:highlight w:val="none"/>
          <w:lang w:val="en-US" w:eastAsia="zh-CN"/>
        </w:rPr>
      </w:pPr>
      <w:r>
        <w:rPr>
          <w:rFonts w:hint="eastAsia" w:ascii="黑体" w:hAnsi="黑体" w:eastAsia="黑体"/>
          <w:b/>
          <w:sz w:val="36"/>
          <w:szCs w:val="36"/>
          <w:highlight w:val="none"/>
          <w:lang w:val="en-US" w:eastAsia="zh-CN"/>
        </w:rPr>
        <w:t>零星办公室面积调减项目</w:t>
      </w:r>
    </w:p>
    <w:p w14:paraId="4B8CC6B6">
      <w:pPr>
        <w:jc w:val="center"/>
        <w:rPr>
          <w:rFonts w:ascii="黑体" w:hAnsi="黑体" w:eastAsia="黑体"/>
          <w:sz w:val="36"/>
          <w:szCs w:val="36"/>
          <w:highlight w:val="none"/>
        </w:rPr>
      </w:pPr>
      <w:r>
        <w:rPr>
          <w:rFonts w:hint="eastAsia" w:ascii="黑体" w:hAnsi="黑体" w:eastAsia="黑体"/>
          <w:b/>
          <w:sz w:val="36"/>
          <w:szCs w:val="36"/>
          <w:highlight w:val="none"/>
          <w:lang w:val="en-US" w:eastAsia="zh-CN"/>
        </w:rPr>
        <w:t>竞争性磋商文件</w:t>
      </w:r>
    </w:p>
    <w:p w14:paraId="3921D8BC">
      <w:pPr>
        <w:jc w:val="center"/>
        <w:rPr>
          <w:rFonts w:hint="eastAsia" w:ascii="黑体" w:hAnsi="黑体" w:eastAsia="黑体"/>
          <w:sz w:val="36"/>
          <w:szCs w:val="36"/>
          <w:highlight w:val="none"/>
          <w:lang w:val="en-US" w:eastAsia="zh-CN"/>
        </w:rPr>
      </w:pPr>
    </w:p>
    <w:p w14:paraId="3196DD07">
      <w:pPr>
        <w:jc w:val="center"/>
        <w:rPr>
          <w:rFonts w:hint="eastAsia" w:ascii="黑体" w:hAnsi="黑体" w:eastAsia="黑体"/>
          <w:sz w:val="36"/>
          <w:szCs w:val="36"/>
          <w:highlight w:val="none"/>
          <w:lang w:val="en-US" w:eastAsia="zh-CN"/>
        </w:rPr>
      </w:pPr>
    </w:p>
    <w:p w14:paraId="029B94E8">
      <w:pPr>
        <w:jc w:val="both"/>
        <w:rPr>
          <w:rFonts w:hint="eastAsia" w:ascii="黑体" w:hAnsi="黑体" w:eastAsia="黑体"/>
          <w:sz w:val="36"/>
          <w:szCs w:val="36"/>
          <w:highlight w:val="none"/>
          <w:lang w:val="en-US" w:eastAsia="zh-CN"/>
        </w:rPr>
      </w:pPr>
    </w:p>
    <w:p w14:paraId="5CE02574">
      <w:pPr>
        <w:jc w:val="center"/>
        <w:rPr>
          <w:rFonts w:ascii="黑体" w:hAnsi="黑体" w:eastAsia="黑体"/>
          <w:sz w:val="36"/>
          <w:szCs w:val="36"/>
          <w:highlight w:val="none"/>
        </w:rPr>
      </w:pPr>
    </w:p>
    <w:p w14:paraId="03ABAA5A">
      <w:pPr>
        <w:jc w:val="center"/>
        <w:rPr>
          <w:rFonts w:ascii="黑体" w:hAnsi="黑体" w:eastAsia="黑体"/>
          <w:sz w:val="36"/>
          <w:szCs w:val="36"/>
          <w:highlight w:val="none"/>
        </w:rPr>
      </w:pPr>
    </w:p>
    <w:p w14:paraId="7E3E78EA">
      <w:pPr>
        <w:jc w:val="center"/>
        <w:rPr>
          <w:rFonts w:ascii="黑体" w:hAnsi="黑体" w:eastAsia="黑体"/>
          <w:sz w:val="28"/>
          <w:szCs w:val="28"/>
          <w:highlight w:val="none"/>
        </w:rPr>
      </w:pPr>
    </w:p>
    <w:p w14:paraId="6E601F02">
      <w:pPr>
        <w:jc w:val="left"/>
        <w:rPr>
          <w:rFonts w:ascii="仿宋_GB2312" w:hAnsi="黑体" w:eastAsia="仿宋_GB2312"/>
          <w:sz w:val="28"/>
          <w:szCs w:val="28"/>
          <w:highlight w:val="none"/>
        </w:rPr>
      </w:pPr>
    </w:p>
    <w:p w14:paraId="6D02A4F2">
      <w:pPr>
        <w:jc w:val="left"/>
        <w:rPr>
          <w:rFonts w:ascii="仿宋_GB2312" w:hAnsi="黑体" w:eastAsia="仿宋_GB2312"/>
          <w:sz w:val="28"/>
          <w:szCs w:val="28"/>
          <w:highlight w:val="none"/>
        </w:rPr>
      </w:pPr>
    </w:p>
    <w:p w14:paraId="004EF810">
      <w:pPr>
        <w:jc w:val="left"/>
        <w:rPr>
          <w:rFonts w:ascii="仿宋_GB2312" w:hAnsi="黑体" w:eastAsia="仿宋_GB2312"/>
          <w:sz w:val="28"/>
          <w:szCs w:val="28"/>
          <w:highlight w:val="none"/>
        </w:rPr>
      </w:pPr>
    </w:p>
    <w:p w14:paraId="455298AE">
      <w:pPr>
        <w:jc w:val="left"/>
        <w:rPr>
          <w:rFonts w:ascii="仿宋_GB2312" w:hAnsi="黑体" w:eastAsia="仿宋_GB2312"/>
          <w:sz w:val="28"/>
          <w:szCs w:val="28"/>
          <w:highlight w:val="none"/>
        </w:rPr>
      </w:pPr>
    </w:p>
    <w:p w14:paraId="01F69B10">
      <w:pPr>
        <w:jc w:val="center"/>
        <w:rPr>
          <w:rFonts w:hint="eastAsia" w:ascii="仿宋_GB2312" w:hAnsi="黑体" w:eastAsia="仿宋_GB2312"/>
          <w:b/>
          <w:color w:val="auto"/>
          <w:sz w:val="28"/>
          <w:szCs w:val="28"/>
          <w:highlight w:val="none"/>
          <w:lang w:eastAsia="zh-CN"/>
        </w:rPr>
      </w:pPr>
      <w:bookmarkStart w:id="0" w:name="OLE_LINK3"/>
      <w:r>
        <w:rPr>
          <w:rFonts w:hint="eastAsia" w:ascii="仿宋_GB2312" w:hAnsi="黑体" w:eastAsia="仿宋_GB2312"/>
          <w:b/>
          <w:color w:val="auto"/>
          <w:sz w:val="28"/>
          <w:szCs w:val="28"/>
          <w:highlight w:val="none"/>
          <w:lang w:eastAsia="zh-CN"/>
        </w:rPr>
        <w:t>中证中小投资者服务中心有限责任公司</w:t>
      </w:r>
    </w:p>
    <w:bookmarkEnd w:id="0"/>
    <w:p w14:paraId="316D9A03">
      <w:pPr>
        <w:jc w:val="center"/>
        <w:rPr>
          <w:rFonts w:ascii="仿宋_GB2312" w:hAnsi="黑体" w:eastAsia="仿宋_GB2312"/>
          <w:sz w:val="28"/>
          <w:szCs w:val="28"/>
          <w:highlight w:val="none"/>
        </w:rPr>
      </w:pPr>
      <w:r>
        <w:rPr>
          <w:rFonts w:hint="eastAsia" w:ascii="仿宋_GB2312" w:hAnsi="黑体" w:eastAsia="仿宋_GB2312"/>
          <w:b/>
          <w:sz w:val="28"/>
          <w:szCs w:val="28"/>
          <w:highlight w:val="none"/>
          <w:lang w:val="en-US" w:eastAsia="zh-CN"/>
        </w:rPr>
        <w:t>2026</w:t>
      </w:r>
      <w:r>
        <w:rPr>
          <w:rFonts w:hint="eastAsia" w:ascii="仿宋_GB2312" w:hAnsi="黑体" w:eastAsia="仿宋_GB2312"/>
          <w:b/>
          <w:sz w:val="28"/>
          <w:szCs w:val="28"/>
          <w:highlight w:val="none"/>
        </w:rPr>
        <w:t>年</w:t>
      </w:r>
      <w:r>
        <w:rPr>
          <w:rFonts w:hint="eastAsia" w:ascii="仿宋_GB2312" w:hAnsi="黑体" w:eastAsia="仿宋_GB2312"/>
          <w:b/>
          <w:sz w:val="28"/>
          <w:szCs w:val="28"/>
          <w:highlight w:val="none"/>
          <w:lang w:val="en-US" w:eastAsia="zh-CN"/>
        </w:rPr>
        <w:t>7</w:t>
      </w:r>
      <w:r>
        <w:rPr>
          <w:rFonts w:hint="eastAsia" w:ascii="仿宋_GB2312" w:hAnsi="黑体" w:eastAsia="仿宋_GB2312"/>
          <w:b/>
          <w:sz w:val="28"/>
          <w:szCs w:val="28"/>
          <w:highlight w:val="none"/>
        </w:rPr>
        <w:t>月</w:t>
      </w:r>
      <w:r>
        <w:rPr>
          <w:rFonts w:ascii="仿宋_GB2312" w:hAnsi="黑体" w:eastAsia="仿宋_GB2312"/>
          <w:sz w:val="28"/>
          <w:szCs w:val="28"/>
          <w:highlight w:val="none"/>
        </w:rPr>
        <w:br w:type="page"/>
      </w:r>
    </w:p>
    <w:p w14:paraId="12B13E80">
      <w:pPr>
        <w:pStyle w:val="18"/>
        <w:widowControl/>
        <w:numPr>
          <w:ilvl w:val="0"/>
          <w:numId w:val="1"/>
        </w:numPr>
        <w:spacing w:line="600" w:lineRule="exact"/>
        <w:ind w:firstLineChars="0"/>
        <w:jc w:val="center"/>
        <w:outlineLvl w:val="0"/>
        <w:rPr>
          <w:rFonts w:ascii="仿宋_GB2312" w:hAnsi="黑体" w:eastAsia="仿宋_GB2312"/>
          <w:b/>
          <w:sz w:val="28"/>
          <w:szCs w:val="28"/>
          <w:highlight w:val="none"/>
        </w:rPr>
      </w:pPr>
      <w:bookmarkStart w:id="1" w:name="_Toc11164"/>
      <w:r>
        <w:rPr>
          <w:rFonts w:hint="eastAsia" w:ascii="仿宋_GB2312" w:hAnsi="黑体" w:eastAsia="仿宋_GB2312"/>
          <w:b/>
          <w:sz w:val="28"/>
          <w:szCs w:val="28"/>
          <w:highlight w:val="none"/>
          <w:lang w:val="en-US" w:eastAsia="zh-CN"/>
        </w:rPr>
        <w:t>磋商</w:t>
      </w:r>
      <w:r>
        <w:rPr>
          <w:rFonts w:hint="eastAsia" w:ascii="仿宋_GB2312" w:hAnsi="黑体" w:eastAsia="仿宋_GB2312"/>
          <w:b/>
          <w:sz w:val="28"/>
          <w:szCs w:val="28"/>
          <w:highlight w:val="none"/>
        </w:rPr>
        <w:t>邀请</w:t>
      </w:r>
      <w:bookmarkEnd w:id="1"/>
    </w:p>
    <w:p w14:paraId="2ECB33C5">
      <w:pPr>
        <w:pStyle w:val="18"/>
        <w:widowControl/>
        <w:numPr>
          <w:ilvl w:val="0"/>
          <w:numId w:val="2"/>
        </w:numPr>
        <w:spacing w:line="600" w:lineRule="exact"/>
        <w:ind w:firstLineChars="0"/>
        <w:outlineLvl w:val="1"/>
        <w:rPr>
          <w:rFonts w:ascii="仿宋_GB2312" w:hAnsi="黑体" w:eastAsia="仿宋_GB2312"/>
          <w:b/>
          <w:bCs/>
          <w:sz w:val="28"/>
          <w:szCs w:val="28"/>
          <w:highlight w:val="none"/>
        </w:rPr>
      </w:pPr>
      <w:bookmarkStart w:id="2" w:name="_Toc30017"/>
      <w:r>
        <w:rPr>
          <w:rFonts w:hint="eastAsia" w:ascii="仿宋_GB2312" w:hAnsi="黑体" w:eastAsia="仿宋_GB2312"/>
          <w:b/>
          <w:bCs/>
          <w:sz w:val="28"/>
          <w:szCs w:val="28"/>
          <w:highlight w:val="none"/>
        </w:rPr>
        <w:t>采购方式</w:t>
      </w:r>
      <w:bookmarkEnd w:id="2"/>
    </w:p>
    <w:p w14:paraId="3BDBADB1">
      <w:pPr>
        <w:pStyle w:val="18"/>
        <w:widowControl/>
        <w:spacing w:line="600" w:lineRule="exact"/>
        <w:ind w:firstLine="560"/>
        <w:rPr>
          <w:rFonts w:ascii="仿宋_GB2312" w:hAnsi="黑体" w:eastAsia="仿宋_GB2312"/>
          <w:sz w:val="30"/>
          <w:szCs w:val="30"/>
          <w:highlight w:val="none"/>
        </w:rPr>
      </w:pPr>
      <w:r>
        <w:rPr>
          <w:rFonts w:hint="eastAsia" w:ascii="仿宋_GB2312" w:hAnsi="黑体" w:eastAsia="仿宋_GB2312"/>
          <w:sz w:val="28"/>
          <w:szCs w:val="28"/>
          <w:highlight w:val="none"/>
          <w:lang w:eastAsia="zh-CN"/>
        </w:rPr>
        <w:t>中证中小投资者服务中心零星</w:t>
      </w:r>
      <w:r>
        <w:rPr>
          <w:rFonts w:hint="eastAsia" w:ascii="仿宋_GB2312" w:hAnsi="黑体" w:eastAsia="仿宋_GB2312"/>
          <w:sz w:val="28"/>
          <w:szCs w:val="28"/>
          <w:highlight w:val="none"/>
          <w:lang w:val="en-US" w:eastAsia="zh-CN"/>
        </w:rPr>
        <w:t>办公室面积调减</w:t>
      </w:r>
      <w:r>
        <w:rPr>
          <w:rFonts w:hint="eastAsia" w:ascii="仿宋_GB2312" w:hAnsi="黑体" w:eastAsia="仿宋_GB2312"/>
          <w:sz w:val="28"/>
          <w:szCs w:val="28"/>
          <w:highlight w:val="none"/>
          <w:lang w:eastAsia="zh-CN"/>
        </w:rPr>
        <w:t>项目以竞争性</w:t>
      </w:r>
      <w:r>
        <w:rPr>
          <w:rFonts w:hint="eastAsia" w:ascii="仿宋_GB2312" w:hAnsi="黑体" w:eastAsia="仿宋_GB2312"/>
          <w:sz w:val="28"/>
          <w:szCs w:val="28"/>
          <w:highlight w:val="none"/>
          <w:lang w:val="en-US" w:eastAsia="zh-CN"/>
        </w:rPr>
        <w:t>磋商</w:t>
      </w:r>
      <w:r>
        <w:rPr>
          <w:rFonts w:hint="eastAsia" w:ascii="仿宋_GB2312" w:hAnsi="黑体" w:eastAsia="仿宋_GB2312"/>
          <w:sz w:val="28"/>
          <w:szCs w:val="28"/>
          <w:highlight w:val="none"/>
          <w:lang w:eastAsia="zh-CN"/>
        </w:rPr>
        <w:t>方式采购，邀请符合条件的供应商参加</w:t>
      </w:r>
      <w:r>
        <w:rPr>
          <w:rFonts w:hint="eastAsia" w:ascii="仿宋_GB2312" w:hAnsi="黑体" w:eastAsia="仿宋_GB2312"/>
          <w:sz w:val="28"/>
          <w:szCs w:val="28"/>
          <w:highlight w:val="none"/>
          <w:lang w:val="en-US" w:eastAsia="zh-CN"/>
        </w:rPr>
        <w:t>磋商</w:t>
      </w:r>
      <w:r>
        <w:rPr>
          <w:rFonts w:hint="eastAsia" w:ascii="仿宋_GB2312" w:hAnsi="黑体" w:eastAsia="仿宋_GB2312"/>
          <w:sz w:val="28"/>
          <w:szCs w:val="28"/>
          <w:highlight w:val="none"/>
          <w:lang w:eastAsia="zh-CN"/>
        </w:rPr>
        <w:t>。</w:t>
      </w:r>
    </w:p>
    <w:p w14:paraId="3022CD52">
      <w:pPr>
        <w:pStyle w:val="18"/>
        <w:widowControl/>
        <w:numPr>
          <w:ilvl w:val="0"/>
          <w:numId w:val="2"/>
        </w:numPr>
        <w:spacing w:line="600" w:lineRule="exact"/>
        <w:ind w:firstLineChars="0"/>
        <w:outlineLvl w:val="1"/>
        <w:rPr>
          <w:rFonts w:ascii="仿宋_GB2312" w:hAnsi="黑体" w:eastAsia="仿宋_GB2312"/>
          <w:b/>
          <w:bCs/>
          <w:sz w:val="28"/>
          <w:szCs w:val="28"/>
          <w:highlight w:val="none"/>
        </w:rPr>
      </w:pPr>
      <w:bookmarkStart w:id="3" w:name="_Toc18627"/>
      <w:r>
        <w:rPr>
          <w:rFonts w:hint="eastAsia" w:ascii="仿宋_GB2312" w:hAnsi="黑体" w:eastAsia="仿宋_GB2312"/>
          <w:b/>
          <w:bCs/>
          <w:sz w:val="30"/>
          <w:szCs w:val="30"/>
          <w:highlight w:val="none"/>
        </w:rPr>
        <w:t>采购项目概况</w:t>
      </w:r>
      <w:bookmarkEnd w:id="3"/>
    </w:p>
    <w:p w14:paraId="3DF0D59F">
      <w:pPr>
        <w:pStyle w:val="18"/>
        <w:widowControl/>
        <w:numPr>
          <w:ilvl w:val="0"/>
          <w:numId w:val="3"/>
        </w:numPr>
        <w:spacing w:line="600" w:lineRule="exact"/>
        <w:ind w:firstLineChars="0"/>
        <w:rPr>
          <w:rFonts w:ascii="仿宋_GB2312" w:hAnsi="黑体" w:eastAsia="仿宋_GB2312"/>
          <w:sz w:val="28"/>
          <w:szCs w:val="28"/>
          <w:highlight w:val="none"/>
        </w:rPr>
      </w:pPr>
      <w:r>
        <w:rPr>
          <w:rFonts w:hint="eastAsia" w:ascii="仿宋_GB2312" w:hAnsi="黑体" w:eastAsia="仿宋_GB2312"/>
          <w:sz w:val="28"/>
          <w:szCs w:val="28"/>
          <w:highlight w:val="none"/>
        </w:rPr>
        <w:t>采购项目名称：</w:t>
      </w:r>
      <w:r>
        <w:rPr>
          <w:rFonts w:hint="eastAsia" w:ascii="仿宋_GB2312" w:hAnsi="黑体" w:eastAsia="仿宋_GB2312"/>
          <w:sz w:val="28"/>
          <w:szCs w:val="28"/>
          <w:highlight w:val="none"/>
          <w:lang w:val="en-US" w:eastAsia="zh-CN"/>
        </w:rPr>
        <w:t>零星办公室面积调减</w:t>
      </w:r>
      <w:r>
        <w:rPr>
          <w:rFonts w:hint="eastAsia" w:ascii="仿宋_GB2312" w:hAnsi="黑体" w:eastAsia="仿宋_GB2312"/>
          <w:sz w:val="28"/>
          <w:szCs w:val="28"/>
          <w:highlight w:val="none"/>
          <w:lang w:eastAsia="zh-CN"/>
        </w:rPr>
        <w:t>项目</w:t>
      </w:r>
    </w:p>
    <w:p w14:paraId="13C5AEA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right="0" w:firstLine="560" w:firstLineChars="200"/>
        <w:jc w:val="both"/>
        <w:textAlignment w:val="auto"/>
        <w:rPr>
          <w:rFonts w:hint="eastAsia" w:ascii="仿宋_GB2312" w:hAnsi="黑体" w:eastAsia="仿宋_GB2312"/>
          <w:sz w:val="28"/>
          <w:szCs w:val="28"/>
          <w:highlight w:val="none"/>
        </w:rPr>
      </w:pPr>
      <w:r>
        <w:rPr>
          <w:rFonts w:hint="eastAsia" w:ascii="仿宋_GB2312" w:hAnsi="黑体" w:eastAsia="仿宋_GB2312"/>
          <w:sz w:val="28"/>
          <w:szCs w:val="28"/>
          <w:highlight w:val="none"/>
        </w:rPr>
        <w:t>采购内容：</w:t>
      </w:r>
    </w:p>
    <w:p w14:paraId="5FA9B93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right="0" w:firstLine="600" w:firstLineChars="200"/>
        <w:jc w:val="both"/>
        <w:textAlignment w:val="auto"/>
        <w:rPr>
          <w:rFonts w:hint="eastAsia" w:ascii="仿宋_GB2312" w:hAnsi="黑体" w:eastAsia="仿宋_GB2312" w:cstheme="minorBidi"/>
          <w:kern w:val="2"/>
          <w:sz w:val="30"/>
          <w:szCs w:val="30"/>
          <w:highlight w:val="none"/>
          <w:lang w:val="en-US" w:eastAsia="zh-CN" w:bidi="ar-SA"/>
        </w:rPr>
      </w:pPr>
      <w:r>
        <w:rPr>
          <w:rFonts w:hint="eastAsia" w:ascii="仿宋_GB2312" w:hAnsi="黑体" w:eastAsia="仿宋_GB2312" w:cstheme="minorBidi"/>
          <w:kern w:val="2"/>
          <w:sz w:val="30"/>
          <w:szCs w:val="30"/>
          <w:highlight w:val="none"/>
          <w:lang w:val="en-US" w:eastAsia="zh-CN" w:bidi="ar-SA"/>
        </w:rPr>
        <w:t>1.将1308北房间1根备用光纤迁移至1309北房间，完成满足1309北房间可以正常使用相关网络需要的所有工作，涉及的相关材料由投服中心提供。</w:t>
      </w:r>
    </w:p>
    <w:p w14:paraId="1067101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right="0" w:firstLine="600" w:firstLineChars="200"/>
        <w:jc w:val="both"/>
        <w:textAlignment w:val="auto"/>
        <w:rPr>
          <w:rFonts w:hint="eastAsia" w:ascii="仿宋_GB2312" w:hAnsi="黑体" w:eastAsia="仿宋_GB2312" w:cstheme="minorBidi"/>
          <w:kern w:val="2"/>
          <w:sz w:val="30"/>
          <w:szCs w:val="30"/>
          <w:highlight w:val="none"/>
          <w:lang w:val="en-US" w:eastAsia="zh-CN" w:bidi="ar-SA"/>
        </w:rPr>
      </w:pPr>
      <w:r>
        <w:rPr>
          <w:rFonts w:hint="eastAsia" w:ascii="仿宋_GB2312" w:hAnsi="黑体" w:eastAsia="仿宋_GB2312" w:cstheme="minorBidi"/>
          <w:kern w:val="2"/>
          <w:sz w:val="30"/>
          <w:szCs w:val="30"/>
          <w:highlight w:val="none"/>
          <w:lang w:val="en-US" w:eastAsia="zh-CN" w:bidi="ar-SA"/>
        </w:rPr>
        <w:t>2.将三间（1402南、1407北、1409北）使用面积18㎡的办公室调减至12㎡以内，具体工作包括铝合金龙骨和基层板安装、涂料涂刷、木门安装（每间两扇）、线路增设等全部工作。该项目为房间面积临时性结构调减，不对天棚顶灯及消防进行固化调整，增设隔断限高2.2米，所用隔断须可在同一办公室内拆卸并重复利用。</w:t>
      </w:r>
    </w:p>
    <w:p w14:paraId="049BE7B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right="0" w:firstLine="560" w:firstLineChars="200"/>
        <w:jc w:val="both"/>
        <w:textAlignment w:val="auto"/>
        <w:rPr>
          <w:rFonts w:hint="default" w:ascii="仿宋_GB2312" w:hAnsi="黑体" w:eastAsia="仿宋_GB2312" w:cstheme="minorBidi"/>
          <w:kern w:val="2"/>
          <w:sz w:val="28"/>
          <w:szCs w:val="28"/>
          <w:highlight w:val="none"/>
          <w:lang w:val="en-US" w:eastAsia="zh-CN" w:bidi="ar-SA"/>
        </w:rPr>
      </w:pPr>
      <w:r>
        <w:rPr>
          <w:rFonts w:hint="eastAsia" w:ascii="仿宋_GB2312" w:hAnsi="黑体" w:eastAsia="仿宋_GB2312" w:cstheme="minorBidi"/>
          <w:kern w:val="2"/>
          <w:sz w:val="28"/>
          <w:szCs w:val="28"/>
          <w:highlight w:val="none"/>
          <w:lang w:val="en-US" w:eastAsia="zh-CN" w:bidi="ar-SA"/>
        </w:rPr>
        <w:t>质保期：验收通过后2年</w:t>
      </w:r>
    </w:p>
    <w:p w14:paraId="7C87F33B">
      <w:pPr>
        <w:pStyle w:val="18"/>
        <w:widowControl/>
        <w:numPr>
          <w:ilvl w:val="0"/>
          <w:numId w:val="3"/>
        </w:numPr>
        <w:spacing w:line="600" w:lineRule="exact"/>
        <w:ind w:firstLineChars="0"/>
        <w:rPr>
          <w:rFonts w:ascii="仿宋_GB2312" w:hAnsi="黑体" w:eastAsia="仿宋_GB2312"/>
          <w:sz w:val="28"/>
          <w:szCs w:val="28"/>
          <w:highlight w:val="none"/>
        </w:rPr>
      </w:pPr>
      <w:r>
        <w:rPr>
          <w:rFonts w:hint="eastAsia" w:ascii="仿宋_GB2312" w:hAnsi="黑体" w:eastAsia="仿宋_GB2312"/>
          <w:sz w:val="28"/>
          <w:szCs w:val="28"/>
          <w:highlight w:val="none"/>
        </w:rPr>
        <w:t>采购</w:t>
      </w:r>
      <w:r>
        <w:rPr>
          <w:rFonts w:hint="eastAsia" w:ascii="仿宋_GB2312" w:hAnsi="黑体" w:eastAsia="仿宋_GB2312"/>
          <w:sz w:val="28"/>
          <w:szCs w:val="28"/>
          <w:highlight w:val="none"/>
          <w:lang w:eastAsia="zh-CN"/>
        </w:rPr>
        <w:t>方</w:t>
      </w:r>
      <w:r>
        <w:rPr>
          <w:rFonts w:hint="eastAsia" w:ascii="仿宋_GB2312" w:hAnsi="黑体" w:eastAsia="仿宋_GB2312"/>
          <w:sz w:val="28"/>
          <w:szCs w:val="28"/>
          <w:highlight w:val="none"/>
        </w:rPr>
        <w:t>：</w:t>
      </w:r>
      <w:bookmarkStart w:id="4" w:name="OLE_LINK4"/>
      <w:r>
        <w:rPr>
          <w:rFonts w:hint="eastAsia" w:ascii="仿宋_GB2312" w:hAnsi="黑体" w:eastAsia="仿宋_GB2312"/>
          <w:sz w:val="28"/>
          <w:szCs w:val="28"/>
          <w:highlight w:val="none"/>
          <w:lang w:eastAsia="zh-CN"/>
        </w:rPr>
        <w:t>中证中小投资者服务中心有限责任公司</w:t>
      </w:r>
      <w:bookmarkEnd w:id="4"/>
    </w:p>
    <w:p w14:paraId="657EACA3">
      <w:pPr>
        <w:pStyle w:val="18"/>
        <w:widowControl/>
        <w:numPr>
          <w:ilvl w:val="0"/>
          <w:numId w:val="3"/>
        </w:numPr>
        <w:spacing w:line="600" w:lineRule="exact"/>
        <w:ind w:firstLineChars="0"/>
        <w:rPr>
          <w:rFonts w:ascii="仿宋_GB2312" w:hAnsi="黑体" w:eastAsia="仿宋_GB2312"/>
          <w:sz w:val="28"/>
          <w:szCs w:val="28"/>
          <w:highlight w:val="none"/>
        </w:rPr>
      </w:pPr>
      <w:r>
        <w:rPr>
          <w:rFonts w:hint="eastAsia" w:ascii="仿宋_GB2312" w:hAnsi="黑体" w:eastAsia="仿宋_GB2312"/>
          <w:sz w:val="28"/>
          <w:szCs w:val="28"/>
          <w:highlight w:val="none"/>
          <w:lang w:eastAsia="zh-CN"/>
        </w:rPr>
        <w:t>预算：</w:t>
      </w:r>
      <w:r>
        <w:rPr>
          <w:rFonts w:hint="eastAsia" w:ascii="仿宋_GB2312" w:hAnsi="黑体" w:eastAsia="仿宋_GB2312"/>
          <w:sz w:val="28"/>
          <w:szCs w:val="28"/>
          <w:highlight w:val="none"/>
          <w:lang w:val="en-US" w:eastAsia="zh-CN"/>
        </w:rPr>
        <w:t>4.55万元</w:t>
      </w:r>
      <w:bookmarkStart w:id="16" w:name="_GoBack"/>
      <w:bookmarkEnd w:id="16"/>
    </w:p>
    <w:p w14:paraId="2EA83C13">
      <w:pPr>
        <w:pStyle w:val="18"/>
        <w:widowControl/>
        <w:numPr>
          <w:ilvl w:val="0"/>
          <w:numId w:val="2"/>
        </w:numPr>
        <w:spacing w:line="600" w:lineRule="exact"/>
        <w:ind w:firstLineChars="0"/>
        <w:outlineLvl w:val="1"/>
        <w:rPr>
          <w:rFonts w:ascii="仿宋_GB2312" w:hAnsi="黑体" w:eastAsia="仿宋_GB2312"/>
          <w:b/>
          <w:bCs/>
          <w:sz w:val="28"/>
          <w:szCs w:val="28"/>
          <w:highlight w:val="none"/>
        </w:rPr>
      </w:pPr>
      <w:bookmarkStart w:id="5" w:name="_Toc24608"/>
      <w:r>
        <w:rPr>
          <w:rFonts w:hint="eastAsia" w:ascii="仿宋_GB2312" w:hAnsi="黑体" w:eastAsia="仿宋_GB2312"/>
          <w:b/>
          <w:bCs/>
          <w:sz w:val="28"/>
          <w:szCs w:val="28"/>
          <w:highlight w:val="none"/>
        </w:rPr>
        <w:t>提交响应文件及竞争性</w:t>
      </w:r>
      <w:r>
        <w:rPr>
          <w:rFonts w:hint="eastAsia" w:ascii="仿宋_GB2312" w:hAnsi="黑体" w:eastAsia="仿宋_GB2312"/>
          <w:b/>
          <w:bCs/>
          <w:sz w:val="28"/>
          <w:szCs w:val="28"/>
          <w:highlight w:val="none"/>
          <w:lang w:val="en-US" w:eastAsia="zh-CN"/>
        </w:rPr>
        <w:t>磋商</w:t>
      </w:r>
      <w:r>
        <w:rPr>
          <w:rFonts w:hint="eastAsia" w:ascii="仿宋_GB2312" w:hAnsi="黑体" w:eastAsia="仿宋_GB2312"/>
          <w:b/>
          <w:bCs/>
          <w:sz w:val="28"/>
          <w:szCs w:val="28"/>
          <w:highlight w:val="none"/>
        </w:rPr>
        <w:t>的时间和地点</w:t>
      </w:r>
      <w:bookmarkEnd w:id="5"/>
    </w:p>
    <w:p w14:paraId="2B49BB03">
      <w:pPr>
        <w:pStyle w:val="18"/>
        <w:widowControl/>
        <w:numPr>
          <w:ilvl w:val="0"/>
          <w:numId w:val="4"/>
        </w:numPr>
        <w:spacing w:line="600" w:lineRule="exact"/>
        <w:ind w:left="0" w:firstLine="0" w:firstLineChars="0"/>
        <w:rPr>
          <w:rFonts w:hint="eastAsia" w:ascii="仿宋_GB2312" w:hAnsi="黑体" w:eastAsia="仿宋_GB2312"/>
          <w:sz w:val="28"/>
          <w:szCs w:val="28"/>
          <w:highlight w:val="none"/>
        </w:rPr>
      </w:pPr>
      <w:r>
        <w:rPr>
          <w:rFonts w:hint="eastAsia" w:ascii="仿宋_GB2312" w:hAnsi="黑体" w:eastAsia="仿宋_GB2312"/>
          <w:sz w:val="28"/>
          <w:szCs w:val="28"/>
          <w:highlight w:val="none"/>
        </w:rPr>
        <w:t>截止时间</w:t>
      </w:r>
      <w:r>
        <w:rPr>
          <w:rFonts w:hint="eastAsia" w:ascii="仿宋_GB2312" w:hAnsi="黑体" w:eastAsia="仿宋_GB2312"/>
          <w:sz w:val="28"/>
          <w:szCs w:val="28"/>
          <w:highlight w:val="none"/>
          <w:lang w:val="en-US" w:eastAsia="zh-CN"/>
        </w:rPr>
        <w:t>及</w:t>
      </w:r>
      <w:r>
        <w:rPr>
          <w:rFonts w:hint="eastAsia" w:ascii="仿宋_GB2312" w:hAnsi="黑体" w:eastAsia="仿宋_GB2312"/>
          <w:sz w:val="28"/>
          <w:szCs w:val="28"/>
          <w:highlight w:val="none"/>
        </w:rPr>
        <w:t>竞争性</w:t>
      </w:r>
      <w:r>
        <w:rPr>
          <w:rFonts w:hint="eastAsia" w:ascii="仿宋_GB2312" w:hAnsi="黑体" w:eastAsia="仿宋_GB2312"/>
          <w:sz w:val="28"/>
          <w:szCs w:val="28"/>
          <w:highlight w:val="none"/>
          <w:lang w:val="en-US" w:eastAsia="zh-CN"/>
        </w:rPr>
        <w:t>磋商</w:t>
      </w:r>
      <w:r>
        <w:rPr>
          <w:rFonts w:hint="eastAsia" w:ascii="仿宋_GB2312" w:hAnsi="黑体" w:eastAsia="仿宋_GB2312"/>
          <w:sz w:val="28"/>
          <w:szCs w:val="28"/>
          <w:highlight w:val="none"/>
          <w:lang w:eastAsia="zh-CN"/>
        </w:rPr>
        <w:t>日期</w:t>
      </w:r>
      <w:r>
        <w:rPr>
          <w:rFonts w:hint="eastAsia" w:ascii="仿宋_GB2312" w:hAnsi="黑体" w:eastAsia="仿宋_GB2312"/>
          <w:sz w:val="28"/>
          <w:szCs w:val="28"/>
          <w:highlight w:val="none"/>
        </w:rPr>
        <w:t>：</w:t>
      </w:r>
      <w:r>
        <w:rPr>
          <w:rFonts w:hint="eastAsia" w:ascii="仿宋_GB2312" w:hAnsi="黑体" w:eastAsia="仿宋_GB2312"/>
          <w:sz w:val="28"/>
          <w:szCs w:val="28"/>
          <w:highlight w:val="none"/>
          <w:lang w:val="en-US" w:eastAsia="zh-CN"/>
        </w:rPr>
        <w:t>2026年7月13日上午9：30</w:t>
      </w:r>
    </w:p>
    <w:p w14:paraId="2F1CEBB0">
      <w:pPr>
        <w:pStyle w:val="18"/>
        <w:widowControl/>
        <w:numPr>
          <w:ilvl w:val="0"/>
          <w:numId w:val="4"/>
        </w:numPr>
        <w:spacing w:line="600" w:lineRule="exact"/>
        <w:ind w:left="0" w:firstLine="0" w:firstLineChars="0"/>
        <w:rPr>
          <w:rFonts w:hint="default" w:ascii="仿宋_GB2312" w:hAnsi="黑体" w:eastAsia="仿宋_GB2312"/>
          <w:sz w:val="28"/>
          <w:szCs w:val="28"/>
          <w:highlight w:val="none"/>
          <w:lang w:val="en-US"/>
        </w:rPr>
      </w:pPr>
      <w:r>
        <w:rPr>
          <w:rFonts w:hint="eastAsia" w:ascii="仿宋_GB2312" w:hAnsi="黑体" w:eastAsia="仿宋_GB2312"/>
          <w:sz w:val="28"/>
          <w:szCs w:val="28"/>
          <w:highlight w:val="none"/>
        </w:rPr>
        <w:t>提交响应文件</w:t>
      </w:r>
      <w:r>
        <w:rPr>
          <w:rFonts w:hint="eastAsia" w:ascii="仿宋_GB2312" w:hAnsi="黑体" w:eastAsia="仿宋_GB2312"/>
          <w:sz w:val="28"/>
          <w:szCs w:val="28"/>
          <w:highlight w:val="none"/>
          <w:lang w:val="en-US" w:eastAsia="zh-CN"/>
        </w:rPr>
        <w:t>及</w:t>
      </w:r>
      <w:r>
        <w:rPr>
          <w:rFonts w:hint="eastAsia" w:ascii="仿宋_GB2312" w:hAnsi="黑体" w:eastAsia="仿宋_GB2312"/>
          <w:sz w:val="28"/>
          <w:szCs w:val="28"/>
          <w:highlight w:val="none"/>
        </w:rPr>
        <w:t>竞争性</w:t>
      </w:r>
      <w:r>
        <w:rPr>
          <w:rFonts w:hint="eastAsia" w:ascii="仿宋_GB2312" w:hAnsi="黑体" w:eastAsia="仿宋_GB2312"/>
          <w:sz w:val="28"/>
          <w:szCs w:val="28"/>
          <w:highlight w:val="none"/>
          <w:lang w:val="en-US" w:eastAsia="zh-CN"/>
        </w:rPr>
        <w:t>磋商</w:t>
      </w:r>
      <w:r>
        <w:rPr>
          <w:rFonts w:hint="eastAsia" w:ascii="仿宋_GB2312" w:hAnsi="黑体" w:eastAsia="仿宋_GB2312"/>
          <w:sz w:val="28"/>
          <w:szCs w:val="28"/>
          <w:highlight w:val="none"/>
        </w:rPr>
        <w:t>地点：</w:t>
      </w:r>
      <w:r>
        <w:rPr>
          <w:rFonts w:hint="eastAsia" w:ascii="仿宋_GB2312" w:hAnsi="黑体" w:eastAsia="仿宋_GB2312"/>
          <w:sz w:val="28"/>
          <w:szCs w:val="28"/>
          <w:highlight w:val="none"/>
          <w:lang w:eastAsia="zh-CN"/>
        </w:rPr>
        <w:t>上海市浦东新区杨高南路</w:t>
      </w:r>
      <w:r>
        <w:rPr>
          <w:rFonts w:hint="eastAsia" w:ascii="仿宋_GB2312" w:hAnsi="黑体" w:eastAsia="仿宋_GB2312"/>
          <w:sz w:val="28"/>
          <w:szCs w:val="28"/>
          <w:highlight w:val="none"/>
          <w:lang w:val="en-US" w:eastAsia="zh-CN"/>
        </w:rPr>
        <w:t>288号15层</w:t>
      </w:r>
    </w:p>
    <w:p w14:paraId="5173492B">
      <w:pPr>
        <w:pStyle w:val="18"/>
        <w:widowControl/>
        <w:numPr>
          <w:ilvl w:val="0"/>
          <w:numId w:val="4"/>
        </w:numPr>
        <w:spacing w:line="600" w:lineRule="exact"/>
        <w:ind w:left="0" w:firstLine="0" w:firstLineChars="0"/>
        <w:rPr>
          <w:rFonts w:hint="default" w:ascii="仿宋_GB2312" w:hAnsi="黑体" w:eastAsia="仿宋_GB2312"/>
          <w:sz w:val="28"/>
          <w:szCs w:val="28"/>
          <w:highlight w:val="none"/>
          <w:lang w:val="en-US" w:eastAsia="zh-CN"/>
        </w:rPr>
      </w:pPr>
      <w:r>
        <w:rPr>
          <w:rFonts w:hint="eastAsia" w:ascii="仿宋_GB2312" w:hAnsi="黑体" w:eastAsia="仿宋_GB2312"/>
          <w:sz w:val="28"/>
          <w:szCs w:val="28"/>
          <w:highlight w:val="none"/>
        </w:rPr>
        <w:t>联系人：</w:t>
      </w:r>
      <w:r>
        <w:rPr>
          <w:rFonts w:hint="eastAsia" w:ascii="仿宋_GB2312" w:hAnsi="黑体" w:eastAsia="仿宋_GB2312"/>
          <w:sz w:val="28"/>
          <w:szCs w:val="28"/>
          <w:highlight w:val="none"/>
          <w:lang w:val="en-US" w:eastAsia="zh-CN"/>
        </w:rPr>
        <w:t>邢</w:t>
      </w:r>
      <w:r>
        <w:rPr>
          <w:rFonts w:hint="eastAsia" w:ascii="仿宋_GB2312" w:hAnsi="黑体" w:eastAsia="仿宋_GB2312"/>
          <w:sz w:val="28"/>
          <w:szCs w:val="28"/>
          <w:highlight w:val="none"/>
          <w:lang w:eastAsia="zh-CN"/>
        </w:rPr>
        <w:t>老师、李老师</w:t>
      </w:r>
      <w:r>
        <w:rPr>
          <w:rFonts w:hint="eastAsia" w:ascii="仿宋_GB2312" w:hAnsi="黑体" w:eastAsia="仿宋_GB2312"/>
          <w:sz w:val="28"/>
          <w:szCs w:val="28"/>
          <w:highlight w:val="none"/>
          <w:lang w:val="en-US" w:eastAsia="zh-CN"/>
        </w:rPr>
        <w:t xml:space="preserve"> </w:t>
      </w:r>
    </w:p>
    <w:p w14:paraId="20454B22">
      <w:pPr>
        <w:pStyle w:val="18"/>
        <w:widowControl/>
        <w:numPr>
          <w:ilvl w:val="0"/>
          <w:numId w:val="0"/>
        </w:numPr>
        <w:spacing w:line="600" w:lineRule="exact"/>
        <w:ind w:leftChars="0" w:firstLine="840" w:firstLineChars="300"/>
        <w:rPr>
          <w:rFonts w:hint="default" w:ascii="仿宋_GB2312" w:hAnsi="黑体" w:eastAsia="仿宋_GB2312"/>
          <w:sz w:val="28"/>
          <w:szCs w:val="28"/>
          <w:highlight w:val="none"/>
          <w:lang w:val="en-US" w:eastAsia="zh-CN"/>
        </w:rPr>
      </w:pPr>
      <w:r>
        <w:rPr>
          <w:rFonts w:hint="eastAsia" w:ascii="仿宋_GB2312" w:hAnsi="黑体" w:eastAsia="仿宋_GB2312"/>
          <w:sz w:val="28"/>
          <w:szCs w:val="28"/>
          <w:highlight w:val="none"/>
        </w:rPr>
        <w:t>电话：</w:t>
      </w:r>
      <w:r>
        <w:rPr>
          <w:rFonts w:hint="eastAsia" w:ascii="仿宋_GB2312" w:hAnsi="黑体" w:eastAsia="仿宋_GB2312"/>
          <w:sz w:val="28"/>
          <w:szCs w:val="28"/>
          <w:highlight w:val="none"/>
          <w:lang w:val="en-US" w:eastAsia="zh-CN"/>
        </w:rPr>
        <w:t>021-51916862、021-5191686</w:t>
      </w:r>
    </w:p>
    <w:p w14:paraId="0830B9C2">
      <w:pPr>
        <w:pStyle w:val="18"/>
        <w:widowControl/>
        <w:numPr>
          <w:ilvl w:val="0"/>
          <w:numId w:val="2"/>
        </w:numPr>
        <w:spacing w:line="600" w:lineRule="exact"/>
        <w:ind w:firstLineChars="0"/>
        <w:outlineLvl w:val="1"/>
        <w:rPr>
          <w:rFonts w:ascii="仿宋_GB2312" w:hAnsi="黑体" w:eastAsia="仿宋_GB2312"/>
          <w:b/>
          <w:bCs/>
          <w:sz w:val="28"/>
          <w:szCs w:val="28"/>
          <w:highlight w:val="none"/>
        </w:rPr>
      </w:pPr>
      <w:bookmarkStart w:id="6" w:name="_Toc15057"/>
      <w:r>
        <w:rPr>
          <w:rFonts w:hint="eastAsia" w:ascii="仿宋_GB2312" w:hAnsi="黑体" w:eastAsia="仿宋_GB2312"/>
          <w:b/>
          <w:bCs/>
          <w:sz w:val="28"/>
          <w:szCs w:val="28"/>
          <w:highlight w:val="none"/>
        </w:rPr>
        <w:t>其他相关说明</w:t>
      </w:r>
      <w:bookmarkEnd w:id="6"/>
    </w:p>
    <w:p w14:paraId="5A07B100">
      <w:pPr>
        <w:pStyle w:val="18"/>
        <w:keepNext w:val="0"/>
        <w:keepLines w:val="0"/>
        <w:pageBreakBefore w:val="0"/>
        <w:widowControl/>
        <w:kinsoku/>
        <w:wordWrap/>
        <w:overflowPunct/>
        <w:topLinePunct w:val="0"/>
        <w:autoSpaceDE/>
        <w:autoSpaceDN/>
        <w:bidi w:val="0"/>
        <w:adjustRightInd/>
        <w:snapToGrid/>
        <w:spacing w:line="600" w:lineRule="exact"/>
        <w:ind w:left="420" w:firstLine="560" w:firstLineChars="200"/>
        <w:textAlignment w:val="auto"/>
        <w:rPr>
          <w:rFonts w:ascii="仿宋_GB2312" w:hAnsi="黑体" w:eastAsia="仿宋_GB2312"/>
          <w:sz w:val="28"/>
          <w:szCs w:val="28"/>
          <w:highlight w:val="none"/>
        </w:rPr>
      </w:pPr>
      <w:r>
        <w:rPr>
          <w:rFonts w:hint="eastAsia" w:ascii="仿宋_GB2312" w:hAnsi="黑体" w:eastAsia="仿宋_GB2312"/>
          <w:sz w:val="28"/>
          <w:szCs w:val="28"/>
          <w:highlight w:val="none"/>
        </w:rPr>
        <w:t>本次采购活动未尽事宜的解释权属于</w:t>
      </w:r>
      <w:r>
        <w:rPr>
          <w:rFonts w:hint="eastAsia" w:ascii="仿宋_GB2312" w:hAnsi="黑体" w:eastAsia="仿宋_GB2312"/>
          <w:sz w:val="28"/>
          <w:szCs w:val="28"/>
          <w:highlight w:val="none"/>
          <w:lang w:eastAsia="zh-CN"/>
        </w:rPr>
        <w:t>中证中小投资者服务中心有限责任公司</w:t>
      </w:r>
      <w:r>
        <w:rPr>
          <w:rFonts w:hint="eastAsia" w:ascii="仿宋_GB2312" w:hAnsi="黑体" w:eastAsia="仿宋_GB2312"/>
          <w:sz w:val="28"/>
          <w:szCs w:val="28"/>
          <w:highlight w:val="none"/>
        </w:rPr>
        <w:t>。</w:t>
      </w:r>
    </w:p>
    <w:p w14:paraId="6A3470B2">
      <w:pPr>
        <w:pStyle w:val="18"/>
        <w:widowControl/>
        <w:spacing w:line="600" w:lineRule="exact"/>
        <w:ind w:left="420" w:firstLine="0" w:firstLineChars="0"/>
        <w:rPr>
          <w:rFonts w:ascii="仿宋_GB2312" w:hAnsi="黑体" w:eastAsia="仿宋_GB2312"/>
          <w:sz w:val="28"/>
          <w:szCs w:val="28"/>
          <w:highlight w:val="none"/>
        </w:rPr>
      </w:pPr>
    </w:p>
    <w:p w14:paraId="13A4F8CE">
      <w:pPr>
        <w:pStyle w:val="18"/>
        <w:widowControl/>
        <w:numPr>
          <w:ilvl w:val="0"/>
          <w:numId w:val="1"/>
        </w:numPr>
        <w:spacing w:line="600" w:lineRule="exact"/>
        <w:ind w:firstLineChars="0"/>
        <w:jc w:val="center"/>
        <w:outlineLvl w:val="0"/>
        <w:rPr>
          <w:rFonts w:ascii="仿宋_GB2312" w:hAnsi="黑体" w:eastAsia="仿宋_GB2312"/>
          <w:b/>
          <w:sz w:val="28"/>
          <w:szCs w:val="28"/>
          <w:highlight w:val="none"/>
        </w:rPr>
      </w:pPr>
      <w:bookmarkStart w:id="7" w:name="_Toc1303"/>
      <w:r>
        <w:rPr>
          <w:rFonts w:hint="eastAsia" w:ascii="仿宋_GB2312" w:hAnsi="黑体" w:eastAsia="仿宋_GB2312"/>
          <w:b/>
          <w:sz w:val="28"/>
          <w:szCs w:val="28"/>
          <w:highlight w:val="none"/>
        </w:rPr>
        <w:t>采购内容及要求</w:t>
      </w:r>
      <w:bookmarkEnd w:id="7"/>
    </w:p>
    <w:p w14:paraId="318A8DED">
      <w:pPr>
        <w:pStyle w:val="18"/>
        <w:widowControl/>
        <w:spacing w:line="600" w:lineRule="exact"/>
        <w:ind w:left="420"/>
        <w:rPr>
          <w:rFonts w:hint="eastAsia" w:ascii="黑体" w:hAnsi="黑体" w:eastAsia="黑体" w:cs="黑体"/>
          <w:b w:val="0"/>
          <w:bCs w:val="0"/>
          <w:sz w:val="28"/>
          <w:szCs w:val="28"/>
          <w:highlight w:val="none"/>
          <w:lang w:eastAsia="zh-CN"/>
        </w:rPr>
      </w:pPr>
      <w:r>
        <w:rPr>
          <w:rFonts w:hint="eastAsia" w:ascii="黑体" w:hAnsi="黑体" w:eastAsia="黑体" w:cs="黑体"/>
          <w:b w:val="0"/>
          <w:bCs w:val="0"/>
          <w:sz w:val="28"/>
          <w:szCs w:val="28"/>
          <w:highlight w:val="none"/>
          <w:lang w:eastAsia="zh-CN"/>
        </w:rPr>
        <w:t>一、项目需求</w:t>
      </w:r>
    </w:p>
    <w:p w14:paraId="522AB3C0">
      <w:pPr>
        <w:pStyle w:val="18"/>
        <w:widowControl/>
        <w:spacing w:line="600" w:lineRule="exact"/>
        <w:ind w:left="420"/>
        <w:rPr>
          <w:rFonts w:hint="eastAsia" w:ascii="仿宋_GB2312" w:hAnsi="黑体" w:eastAsia="仿宋_GB2312" w:cstheme="minorBidi"/>
          <w:b w:val="0"/>
          <w:bCs w:val="0"/>
          <w:sz w:val="28"/>
          <w:szCs w:val="28"/>
          <w:highlight w:val="none"/>
          <w:lang w:eastAsia="zh-CN"/>
        </w:rPr>
      </w:pPr>
      <w:r>
        <w:rPr>
          <w:rFonts w:hint="eastAsia" w:ascii="仿宋_GB2312" w:hAnsi="黑体" w:eastAsia="仿宋_GB2312" w:cstheme="minorBidi"/>
          <w:b w:val="0"/>
          <w:bCs w:val="0"/>
          <w:sz w:val="28"/>
          <w:szCs w:val="28"/>
          <w:highlight w:val="none"/>
          <w:lang w:eastAsia="zh-CN"/>
        </w:rPr>
        <w:t>按照采购内容完成光纤迁移和三间办公室面积调减所涉及到的所有工作，相关材料应满足法律法规。</w:t>
      </w:r>
    </w:p>
    <w:p w14:paraId="312FA6AB">
      <w:pPr>
        <w:pStyle w:val="18"/>
        <w:widowControl/>
        <w:spacing w:line="600" w:lineRule="exact"/>
        <w:ind w:left="420"/>
        <w:rPr>
          <w:rFonts w:hint="eastAsia" w:ascii="黑体" w:hAnsi="黑体" w:eastAsia="黑体" w:cs="黑体"/>
          <w:b w:val="0"/>
          <w:sz w:val="28"/>
          <w:szCs w:val="28"/>
          <w:highlight w:val="none"/>
        </w:rPr>
      </w:pPr>
      <w:r>
        <w:rPr>
          <w:rFonts w:hint="eastAsia" w:ascii="黑体" w:hAnsi="黑体" w:eastAsia="黑体" w:cs="黑体"/>
          <w:b w:val="0"/>
          <w:sz w:val="28"/>
          <w:szCs w:val="28"/>
          <w:highlight w:val="none"/>
          <w:lang w:eastAsia="zh-CN"/>
        </w:rPr>
        <w:t>二</w:t>
      </w:r>
      <w:r>
        <w:rPr>
          <w:rFonts w:hint="eastAsia" w:ascii="黑体" w:hAnsi="黑体" w:eastAsia="黑体" w:cs="黑体"/>
          <w:b w:val="0"/>
          <w:sz w:val="28"/>
          <w:szCs w:val="28"/>
          <w:highlight w:val="none"/>
        </w:rPr>
        <w:t>、</w:t>
      </w:r>
      <w:r>
        <w:rPr>
          <w:rFonts w:hint="eastAsia" w:ascii="黑体" w:hAnsi="黑体" w:eastAsia="黑体" w:cs="黑体"/>
          <w:b w:val="0"/>
          <w:sz w:val="28"/>
          <w:szCs w:val="28"/>
          <w:highlight w:val="none"/>
          <w:lang w:eastAsia="zh-CN"/>
        </w:rPr>
        <w:t>费用</w:t>
      </w:r>
      <w:r>
        <w:rPr>
          <w:rFonts w:hint="eastAsia" w:ascii="黑体" w:hAnsi="黑体" w:eastAsia="黑体" w:cs="黑体"/>
          <w:b w:val="0"/>
          <w:sz w:val="28"/>
          <w:szCs w:val="28"/>
          <w:highlight w:val="none"/>
        </w:rPr>
        <w:t>结算及支付</w:t>
      </w:r>
    </w:p>
    <w:p w14:paraId="62DACB22">
      <w:pPr>
        <w:pStyle w:val="18"/>
        <w:widowControl/>
        <w:spacing w:line="600" w:lineRule="exact"/>
        <w:ind w:left="420"/>
        <w:rPr>
          <w:rFonts w:hint="default" w:ascii="仿宋_GB2312" w:hAnsi="黑体" w:eastAsia="仿宋_GB2312" w:cstheme="minorBidi"/>
          <w:sz w:val="28"/>
          <w:szCs w:val="28"/>
          <w:highlight w:val="none"/>
          <w:lang w:val="en-US" w:eastAsia="zh-CN"/>
        </w:rPr>
      </w:pPr>
      <w:r>
        <w:rPr>
          <w:rFonts w:hint="eastAsia" w:ascii="仿宋_GB2312" w:hAnsi="黑体" w:eastAsia="仿宋_GB2312" w:cstheme="minorBidi"/>
          <w:sz w:val="28"/>
          <w:szCs w:val="28"/>
          <w:highlight w:val="none"/>
          <w:lang w:val="en-US" w:eastAsia="zh-CN"/>
        </w:rPr>
        <w:t>在投服中心对</w:t>
      </w:r>
      <w:r>
        <w:rPr>
          <w:rFonts w:hint="eastAsia" w:ascii="仿宋_GB2312" w:hAnsi="黑体" w:eastAsia="仿宋_GB2312" w:cstheme="minorBidi"/>
          <w:kern w:val="2"/>
          <w:sz w:val="30"/>
          <w:szCs w:val="30"/>
          <w:highlight w:val="none"/>
          <w:lang w:val="en-US" w:eastAsia="zh-CN" w:bidi="ar-SA"/>
        </w:rPr>
        <w:t>成交供应商所有工作验收通过，并收到有效发票的10个工作日内一次性付款。</w:t>
      </w:r>
    </w:p>
    <w:p w14:paraId="20FD494A">
      <w:pPr>
        <w:adjustRightInd w:val="0"/>
        <w:snapToGrid w:val="0"/>
        <w:spacing w:line="360" w:lineRule="auto"/>
        <w:rPr>
          <w:rFonts w:hint="eastAsia" w:ascii="仿宋" w:hAnsi="仿宋" w:eastAsia="仿宋" w:cs="仿宋"/>
          <w:b w:val="0"/>
          <w:bCs/>
          <w:sz w:val="28"/>
          <w:szCs w:val="28"/>
          <w:highlight w:val="none"/>
          <w:lang w:eastAsia="zh-CN"/>
        </w:rPr>
      </w:pPr>
    </w:p>
    <w:p w14:paraId="6F441AED">
      <w:pPr>
        <w:pStyle w:val="18"/>
        <w:widowControl/>
        <w:numPr>
          <w:ilvl w:val="0"/>
          <w:numId w:val="1"/>
        </w:numPr>
        <w:ind w:firstLineChars="0"/>
        <w:jc w:val="center"/>
        <w:outlineLvl w:val="0"/>
        <w:rPr>
          <w:rFonts w:ascii="仿宋_GB2312" w:hAnsi="黑体" w:eastAsia="仿宋_GB2312"/>
          <w:b/>
          <w:sz w:val="28"/>
          <w:szCs w:val="28"/>
          <w:highlight w:val="none"/>
        </w:rPr>
      </w:pPr>
      <w:bookmarkStart w:id="8" w:name="_Toc23559"/>
      <w:r>
        <w:rPr>
          <w:rFonts w:hint="eastAsia" w:ascii="仿宋_GB2312" w:hAnsi="黑体" w:eastAsia="仿宋_GB2312"/>
          <w:b/>
          <w:sz w:val="28"/>
          <w:szCs w:val="28"/>
          <w:highlight w:val="none"/>
        </w:rPr>
        <w:t>供应商须知</w:t>
      </w:r>
      <w:bookmarkEnd w:id="8"/>
    </w:p>
    <w:p w14:paraId="5372801D">
      <w:pPr>
        <w:pStyle w:val="18"/>
        <w:widowControl/>
        <w:numPr>
          <w:ilvl w:val="0"/>
          <w:numId w:val="5"/>
        </w:numPr>
        <w:ind w:firstLineChars="0"/>
        <w:outlineLvl w:val="1"/>
        <w:rPr>
          <w:rFonts w:hint="eastAsia" w:ascii="仿宋_GB2312" w:hAnsi="黑体" w:eastAsia="仿宋_GB2312"/>
          <w:b/>
          <w:bCs/>
          <w:sz w:val="28"/>
          <w:szCs w:val="28"/>
          <w:highlight w:val="none"/>
        </w:rPr>
      </w:pPr>
      <w:bookmarkStart w:id="9" w:name="_Toc6109"/>
      <w:r>
        <w:rPr>
          <w:rFonts w:hint="eastAsia" w:ascii="仿宋_GB2312" w:hAnsi="黑体" w:eastAsia="仿宋_GB2312"/>
          <w:b/>
          <w:bCs/>
          <w:sz w:val="28"/>
          <w:szCs w:val="28"/>
          <w:highlight w:val="none"/>
        </w:rPr>
        <w:t>供应商资格</w:t>
      </w:r>
      <w:bookmarkEnd w:id="9"/>
    </w:p>
    <w:p w14:paraId="62FC4BD3">
      <w:pPr>
        <w:pStyle w:val="18"/>
        <w:keepNext w:val="0"/>
        <w:keepLines w:val="0"/>
        <w:pageBreakBefore w:val="0"/>
        <w:widowControl/>
        <w:numPr>
          <w:ilvl w:val="0"/>
          <w:numId w:val="0"/>
        </w:numPr>
        <w:kinsoku/>
        <w:wordWrap/>
        <w:overflowPunct/>
        <w:topLinePunct w:val="0"/>
        <w:autoSpaceDE/>
        <w:autoSpaceDN/>
        <w:bidi w:val="0"/>
        <w:adjustRightInd/>
        <w:snapToGrid/>
        <w:spacing w:line="600" w:lineRule="exact"/>
        <w:ind w:leftChars="0" w:firstLine="560" w:firstLineChars="200"/>
        <w:textAlignment w:val="auto"/>
        <w:rPr>
          <w:rFonts w:hint="eastAsia" w:ascii="仿宋_GB2312" w:hAnsi="黑体" w:eastAsia="仿宋_GB2312"/>
          <w:sz w:val="28"/>
          <w:szCs w:val="28"/>
          <w:highlight w:val="none"/>
          <w:lang w:val="en-US" w:eastAsia="zh-CN"/>
        </w:rPr>
      </w:pPr>
      <w:r>
        <w:rPr>
          <w:rFonts w:hint="eastAsia" w:ascii="仿宋_GB2312" w:hAnsi="黑体" w:eastAsia="仿宋_GB2312"/>
          <w:sz w:val="28"/>
          <w:szCs w:val="28"/>
          <w:highlight w:val="none"/>
          <w:lang w:val="en-US" w:eastAsia="zh-CN"/>
        </w:rPr>
        <w:t>1.提供符合满足《中华人民共和国政府采购法》第二十二条规定的承诺书；</w:t>
      </w:r>
    </w:p>
    <w:p w14:paraId="5730649E">
      <w:pPr>
        <w:pStyle w:val="18"/>
        <w:keepNext w:val="0"/>
        <w:keepLines w:val="0"/>
        <w:pageBreakBefore w:val="0"/>
        <w:widowControl/>
        <w:numPr>
          <w:ilvl w:val="0"/>
          <w:numId w:val="0"/>
        </w:numPr>
        <w:kinsoku/>
        <w:wordWrap/>
        <w:overflowPunct/>
        <w:topLinePunct w:val="0"/>
        <w:autoSpaceDE/>
        <w:autoSpaceDN/>
        <w:bidi w:val="0"/>
        <w:adjustRightInd/>
        <w:snapToGrid/>
        <w:spacing w:line="600" w:lineRule="exact"/>
        <w:ind w:leftChars="0" w:firstLine="560" w:firstLineChars="200"/>
        <w:textAlignment w:val="auto"/>
        <w:rPr>
          <w:rFonts w:hint="eastAsia" w:ascii="仿宋_GB2312" w:hAnsi="黑体" w:eastAsia="仿宋_GB2312"/>
          <w:sz w:val="28"/>
          <w:szCs w:val="28"/>
          <w:highlight w:val="none"/>
          <w:lang w:val="en-US" w:eastAsia="zh-CN"/>
        </w:rPr>
      </w:pPr>
      <w:r>
        <w:rPr>
          <w:rFonts w:hint="eastAsia" w:ascii="仿宋_GB2312" w:hAnsi="黑体" w:eastAsia="仿宋_GB2312"/>
          <w:sz w:val="28"/>
          <w:szCs w:val="28"/>
          <w:highlight w:val="none"/>
          <w:lang w:val="en-US" w:eastAsia="zh-CN"/>
        </w:rPr>
        <w:t>2.参与的供应商应为有效登记注册的独立企业法人，需提供有效营业执照；</w:t>
      </w:r>
    </w:p>
    <w:p w14:paraId="02E2B67B">
      <w:pPr>
        <w:pStyle w:val="18"/>
        <w:keepNext w:val="0"/>
        <w:keepLines w:val="0"/>
        <w:pageBreakBefore w:val="0"/>
        <w:widowControl/>
        <w:numPr>
          <w:ilvl w:val="0"/>
          <w:numId w:val="0"/>
        </w:numPr>
        <w:kinsoku/>
        <w:wordWrap/>
        <w:overflowPunct/>
        <w:topLinePunct w:val="0"/>
        <w:autoSpaceDE/>
        <w:autoSpaceDN/>
        <w:bidi w:val="0"/>
        <w:adjustRightInd/>
        <w:snapToGrid/>
        <w:spacing w:line="600" w:lineRule="exact"/>
        <w:ind w:leftChars="0" w:firstLine="560" w:firstLineChars="200"/>
        <w:textAlignment w:val="auto"/>
        <w:rPr>
          <w:rFonts w:hint="eastAsia" w:ascii="仿宋_GB2312" w:hAnsi="黑体" w:eastAsia="仿宋_GB2312"/>
          <w:sz w:val="28"/>
          <w:szCs w:val="28"/>
          <w:highlight w:val="none"/>
          <w:lang w:val="en-US" w:eastAsia="zh-CN"/>
        </w:rPr>
      </w:pPr>
      <w:r>
        <w:rPr>
          <w:rFonts w:hint="eastAsia" w:ascii="仿宋_GB2312" w:hAnsi="黑体" w:eastAsia="仿宋_GB2312"/>
          <w:sz w:val="28"/>
          <w:szCs w:val="28"/>
          <w:highlight w:val="none"/>
          <w:lang w:val="en-US" w:eastAsia="zh-CN"/>
        </w:rPr>
        <w:t>3.未被列入“信用中国”网站的失信被执行人名单（查询对象为企业、法定代表人）、“信用中国”网站的重大税收违法失信主体（查询对象为企业）、“中国政府采购网”网站的政府采购严重违法失信行为记录名单，“中国裁判文书网”搜索公司名称加行贿关键词后未记载任何行贿记录；</w:t>
      </w:r>
    </w:p>
    <w:p w14:paraId="6598CF10">
      <w:pPr>
        <w:pStyle w:val="18"/>
        <w:keepNext w:val="0"/>
        <w:keepLines w:val="0"/>
        <w:pageBreakBefore w:val="0"/>
        <w:widowControl/>
        <w:numPr>
          <w:ilvl w:val="0"/>
          <w:numId w:val="0"/>
        </w:numPr>
        <w:kinsoku/>
        <w:wordWrap/>
        <w:overflowPunct/>
        <w:topLinePunct w:val="0"/>
        <w:autoSpaceDE/>
        <w:autoSpaceDN/>
        <w:bidi w:val="0"/>
        <w:adjustRightInd/>
        <w:snapToGrid/>
        <w:spacing w:line="600" w:lineRule="exact"/>
        <w:ind w:leftChars="0" w:firstLine="560" w:firstLineChars="200"/>
        <w:textAlignment w:val="auto"/>
        <w:rPr>
          <w:rFonts w:hint="eastAsia" w:ascii="仿宋_GB2312" w:hAnsi="黑体" w:eastAsia="仿宋_GB2312"/>
          <w:sz w:val="28"/>
          <w:szCs w:val="28"/>
          <w:highlight w:val="none"/>
          <w:lang w:val="en-US" w:eastAsia="zh-CN"/>
        </w:rPr>
      </w:pPr>
      <w:r>
        <w:rPr>
          <w:rFonts w:hint="eastAsia" w:ascii="仿宋_GB2312" w:hAnsi="黑体" w:eastAsia="仿宋_GB2312"/>
          <w:sz w:val="28"/>
          <w:szCs w:val="28"/>
          <w:highlight w:val="none"/>
          <w:lang w:val="en-US" w:eastAsia="zh-CN"/>
        </w:rPr>
        <w:t>4.具备建筑装修装饰工程承包二级及以上资质；</w:t>
      </w:r>
    </w:p>
    <w:p w14:paraId="15355D08">
      <w:pPr>
        <w:pStyle w:val="18"/>
        <w:widowControl/>
        <w:numPr>
          <w:ilvl w:val="0"/>
          <w:numId w:val="0"/>
        </w:numPr>
        <w:spacing w:line="600" w:lineRule="exact"/>
        <w:ind w:left="0" w:firstLine="560" w:firstLineChars="200"/>
        <w:outlineLvl w:val="9"/>
        <w:rPr>
          <w:rFonts w:ascii="仿宋_GB2312" w:hAnsi="黑体" w:eastAsia="仿宋_GB2312"/>
          <w:b/>
          <w:bCs/>
          <w:sz w:val="28"/>
          <w:szCs w:val="28"/>
          <w:highlight w:val="none"/>
        </w:rPr>
      </w:pPr>
      <w:r>
        <w:rPr>
          <w:rFonts w:hint="eastAsia" w:ascii="仿宋_GB2312" w:hAnsi="黑体" w:eastAsia="仿宋_GB2312"/>
          <w:sz w:val="28"/>
          <w:szCs w:val="28"/>
          <w:highlight w:val="none"/>
          <w:lang w:val="en-US" w:eastAsia="zh-CN"/>
        </w:rPr>
        <w:t>5.具有有效的安全生产许可证。</w:t>
      </w:r>
      <w:bookmarkStart w:id="10" w:name="_Toc25018"/>
    </w:p>
    <w:p w14:paraId="54C3D95D">
      <w:pPr>
        <w:pStyle w:val="18"/>
        <w:widowControl/>
        <w:numPr>
          <w:ilvl w:val="0"/>
          <w:numId w:val="5"/>
        </w:numPr>
        <w:ind w:firstLineChars="0"/>
        <w:outlineLvl w:val="1"/>
        <w:rPr>
          <w:rFonts w:ascii="仿宋_GB2312" w:hAnsi="黑体" w:eastAsia="仿宋_GB2312"/>
          <w:b/>
          <w:bCs/>
          <w:sz w:val="28"/>
          <w:szCs w:val="28"/>
          <w:highlight w:val="none"/>
        </w:rPr>
      </w:pPr>
      <w:r>
        <w:rPr>
          <w:rFonts w:hint="eastAsia" w:ascii="仿宋_GB2312" w:hAnsi="黑体" w:eastAsia="仿宋_GB2312"/>
          <w:b/>
          <w:bCs/>
          <w:sz w:val="28"/>
          <w:szCs w:val="28"/>
          <w:highlight w:val="none"/>
        </w:rPr>
        <w:t>响应文件</w:t>
      </w:r>
      <w:bookmarkEnd w:id="10"/>
    </w:p>
    <w:p w14:paraId="3C9B63ED">
      <w:pPr>
        <w:pStyle w:val="18"/>
        <w:widowControl/>
        <w:numPr>
          <w:ilvl w:val="0"/>
          <w:numId w:val="0"/>
        </w:numPr>
        <w:ind w:leftChars="0"/>
        <w:rPr>
          <w:rFonts w:ascii="仿宋_GB2312" w:hAnsi="黑体" w:eastAsia="仿宋_GB2312"/>
          <w:sz w:val="28"/>
          <w:szCs w:val="28"/>
          <w:highlight w:val="none"/>
        </w:rPr>
      </w:pPr>
      <w:r>
        <w:rPr>
          <w:rFonts w:hint="eastAsia" w:ascii="仿宋_GB2312" w:hAnsi="黑体" w:eastAsia="仿宋_GB2312"/>
          <w:sz w:val="28"/>
          <w:szCs w:val="28"/>
          <w:highlight w:val="none"/>
          <w:lang w:eastAsia="zh-CN"/>
        </w:rPr>
        <w:t>（</w:t>
      </w:r>
      <w:r>
        <w:rPr>
          <w:rFonts w:hint="eastAsia" w:ascii="仿宋_GB2312" w:hAnsi="黑体" w:eastAsia="仿宋_GB2312"/>
          <w:sz w:val="28"/>
          <w:szCs w:val="28"/>
          <w:highlight w:val="none"/>
          <w:lang w:val="en-US" w:eastAsia="zh-CN"/>
        </w:rPr>
        <w:t>一</w:t>
      </w:r>
      <w:r>
        <w:rPr>
          <w:rFonts w:hint="eastAsia" w:ascii="仿宋_GB2312" w:hAnsi="黑体" w:eastAsia="仿宋_GB2312"/>
          <w:sz w:val="28"/>
          <w:szCs w:val="28"/>
          <w:highlight w:val="none"/>
          <w:lang w:eastAsia="zh-CN"/>
        </w:rPr>
        <w:t>）</w:t>
      </w:r>
      <w:r>
        <w:rPr>
          <w:rFonts w:hint="eastAsia" w:ascii="仿宋_GB2312" w:hAnsi="黑体" w:eastAsia="仿宋_GB2312"/>
          <w:sz w:val="28"/>
          <w:szCs w:val="28"/>
          <w:highlight w:val="none"/>
        </w:rPr>
        <w:t>贵单位需根据本文件第二章《采购内容及要求》进行全面响应。</w:t>
      </w:r>
    </w:p>
    <w:p w14:paraId="69CE72C7">
      <w:pPr>
        <w:pStyle w:val="18"/>
        <w:widowControl/>
        <w:numPr>
          <w:ilvl w:val="0"/>
          <w:numId w:val="0"/>
        </w:numPr>
        <w:spacing w:line="600" w:lineRule="exact"/>
        <w:ind w:leftChars="0"/>
        <w:rPr>
          <w:rFonts w:ascii="仿宋_GB2312" w:hAnsi="黑体" w:eastAsia="仿宋_GB2312"/>
          <w:sz w:val="28"/>
          <w:szCs w:val="28"/>
          <w:highlight w:val="none"/>
        </w:rPr>
      </w:pPr>
      <w:r>
        <w:rPr>
          <w:rFonts w:hint="eastAsia" w:ascii="仿宋_GB2312" w:hAnsi="黑体" w:eastAsia="仿宋_GB2312"/>
          <w:sz w:val="28"/>
          <w:szCs w:val="28"/>
          <w:highlight w:val="none"/>
          <w:lang w:eastAsia="zh-CN"/>
        </w:rPr>
        <w:t>（</w:t>
      </w:r>
      <w:r>
        <w:rPr>
          <w:rFonts w:hint="eastAsia" w:ascii="仿宋_GB2312" w:hAnsi="黑体" w:eastAsia="仿宋_GB2312"/>
          <w:sz w:val="28"/>
          <w:szCs w:val="28"/>
          <w:highlight w:val="none"/>
          <w:lang w:val="en-US" w:eastAsia="zh-CN"/>
        </w:rPr>
        <w:t>二</w:t>
      </w:r>
      <w:r>
        <w:rPr>
          <w:rFonts w:hint="eastAsia" w:ascii="仿宋_GB2312" w:hAnsi="黑体" w:eastAsia="仿宋_GB2312"/>
          <w:sz w:val="28"/>
          <w:szCs w:val="28"/>
          <w:highlight w:val="none"/>
          <w:lang w:eastAsia="zh-CN"/>
        </w:rPr>
        <w:t>）</w:t>
      </w:r>
      <w:r>
        <w:rPr>
          <w:rFonts w:hint="eastAsia" w:ascii="仿宋_GB2312" w:hAnsi="黑体" w:eastAsia="仿宋_GB2312"/>
          <w:sz w:val="28"/>
          <w:szCs w:val="28"/>
          <w:highlight w:val="none"/>
        </w:rPr>
        <w:t>贵单位需根据本文件第四章《响应文件要求》准备响应文件。响应文件提交截止时间前，贵单位可对所提交的响应文件进行补充、修改或撤回。补充、修改的内容将作为响应文件的组成部分。</w:t>
      </w:r>
    </w:p>
    <w:p w14:paraId="69D41965">
      <w:pPr>
        <w:pStyle w:val="18"/>
        <w:widowControl/>
        <w:numPr>
          <w:ilvl w:val="0"/>
          <w:numId w:val="5"/>
        </w:numPr>
        <w:spacing w:line="600" w:lineRule="exact"/>
        <w:ind w:firstLineChars="0"/>
        <w:outlineLvl w:val="1"/>
        <w:rPr>
          <w:rFonts w:ascii="仿宋_GB2312" w:hAnsi="黑体" w:eastAsia="仿宋_GB2312"/>
          <w:b/>
          <w:bCs/>
          <w:sz w:val="28"/>
          <w:szCs w:val="28"/>
          <w:highlight w:val="none"/>
        </w:rPr>
      </w:pPr>
      <w:bookmarkStart w:id="11" w:name="_Toc15794"/>
      <w:r>
        <w:rPr>
          <w:rFonts w:hint="eastAsia" w:ascii="仿宋_GB2312" w:hAnsi="黑体" w:eastAsia="仿宋_GB2312"/>
          <w:b/>
          <w:bCs/>
          <w:sz w:val="28"/>
          <w:szCs w:val="28"/>
          <w:highlight w:val="none"/>
        </w:rPr>
        <w:t>竞争性</w:t>
      </w:r>
      <w:bookmarkEnd w:id="11"/>
      <w:r>
        <w:rPr>
          <w:rFonts w:hint="eastAsia" w:ascii="仿宋_GB2312" w:hAnsi="黑体" w:eastAsia="仿宋_GB2312"/>
          <w:b/>
          <w:bCs/>
          <w:sz w:val="28"/>
          <w:szCs w:val="28"/>
          <w:highlight w:val="none"/>
          <w:lang w:val="en-US" w:eastAsia="zh-CN"/>
        </w:rPr>
        <w:t>磋商</w:t>
      </w:r>
    </w:p>
    <w:p w14:paraId="763AB5E6">
      <w:pPr>
        <w:pStyle w:val="18"/>
        <w:widowControl/>
        <w:numPr>
          <w:ilvl w:val="0"/>
          <w:numId w:val="6"/>
        </w:numPr>
        <w:spacing w:line="600" w:lineRule="exact"/>
        <w:ind w:firstLineChars="0"/>
        <w:rPr>
          <w:rFonts w:ascii="仿宋_GB2312" w:hAnsi="黑体" w:eastAsia="仿宋_GB2312"/>
          <w:sz w:val="28"/>
          <w:szCs w:val="28"/>
          <w:highlight w:val="none"/>
        </w:rPr>
      </w:pPr>
      <w:r>
        <w:rPr>
          <w:rFonts w:hint="eastAsia" w:ascii="仿宋_GB2312" w:hAnsi="黑体" w:eastAsia="仿宋_GB2312"/>
          <w:sz w:val="28"/>
          <w:szCs w:val="28"/>
          <w:highlight w:val="none"/>
        </w:rPr>
        <w:t>会议组织</w:t>
      </w:r>
    </w:p>
    <w:p w14:paraId="326DC99F">
      <w:pPr>
        <w:pStyle w:val="18"/>
        <w:widowControl/>
        <w:spacing w:line="600" w:lineRule="exact"/>
        <w:ind w:firstLine="560"/>
        <w:rPr>
          <w:rFonts w:ascii="仿宋_GB2312" w:hAnsi="黑体" w:eastAsia="仿宋_GB2312"/>
          <w:sz w:val="28"/>
          <w:szCs w:val="28"/>
          <w:highlight w:val="none"/>
        </w:rPr>
      </w:pPr>
      <w:r>
        <w:rPr>
          <w:rFonts w:hint="eastAsia" w:ascii="仿宋_GB2312" w:hAnsi="黑体" w:eastAsia="仿宋_GB2312"/>
          <w:sz w:val="28"/>
          <w:szCs w:val="28"/>
          <w:highlight w:val="none"/>
        </w:rPr>
        <w:t>采购</w:t>
      </w:r>
      <w:r>
        <w:rPr>
          <w:rFonts w:hint="eastAsia" w:ascii="仿宋_GB2312" w:hAnsi="黑体" w:eastAsia="仿宋_GB2312"/>
          <w:sz w:val="28"/>
          <w:szCs w:val="28"/>
          <w:highlight w:val="none"/>
          <w:lang w:eastAsia="zh-CN"/>
        </w:rPr>
        <w:t>方</w:t>
      </w:r>
      <w:r>
        <w:rPr>
          <w:rFonts w:hint="eastAsia" w:ascii="仿宋_GB2312" w:hAnsi="黑体" w:eastAsia="仿宋_GB2312"/>
          <w:sz w:val="28"/>
          <w:szCs w:val="28"/>
          <w:highlight w:val="none"/>
        </w:rPr>
        <w:t>负责召开竞争性</w:t>
      </w:r>
      <w:r>
        <w:rPr>
          <w:rFonts w:hint="eastAsia" w:ascii="仿宋_GB2312" w:hAnsi="黑体" w:eastAsia="仿宋_GB2312"/>
          <w:sz w:val="28"/>
          <w:szCs w:val="28"/>
          <w:highlight w:val="none"/>
          <w:lang w:val="en-US" w:eastAsia="zh-CN"/>
        </w:rPr>
        <w:t>磋商</w:t>
      </w:r>
      <w:r>
        <w:rPr>
          <w:rFonts w:hint="eastAsia" w:ascii="仿宋_GB2312" w:hAnsi="黑体" w:eastAsia="仿宋_GB2312"/>
          <w:sz w:val="28"/>
          <w:szCs w:val="28"/>
          <w:highlight w:val="none"/>
        </w:rPr>
        <w:t>会议。供应商委派代表参加磋商会议，向采购</w:t>
      </w:r>
      <w:r>
        <w:rPr>
          <w:rFonts w:hint="eastAsia" w:ascii="仿宋_GB2312" w:hAnsi="黑体" w:eastAsia="仿宋_GB2312"/>
          <w:sz w:val="28"/>
          <w:szCs w:val="28"/>
          <w:highlight w:val="none"/>
          <w:lang w:eastAsia="zh-CN"/>
        </w:rPr>
        <w:t>方</w:t>
      </w:r>
      <w:r>
        <w:rPr>
          <w:rFonts w:hint="eastAsia" w:ascii="仿宋_GB2312" w:hAnsi="黑体" w:eastAsia="仿宋_GB2312"/>
          <w:sz w:val="28"/>
          <w:szCs w:val="28"/>
          <w:highlight w:val="none"/>
        </w:rPr>
        <w:t>介绍服务方案并进行</w:t>
      </w:r>
      <w:r>
        <w:rPr>
          <w:rFonts w:hint="eastAsia" w:ascii="仿宋_GB2312" w:hAnsi="黑体" w:eastAsia="仿宋_GB2312"/>
          <w:sz w:val="28"/>
          <w:szCs w:val="28"/>
          <w:highlight w:val="none"/>
          <w:lang w:val="en-US" w:eastAsia="zh-CN"/>
        </w:rPr>
        <w:t>磋商</w:t>
      </w:r>
      <w:r>
        <w:rPr>
          <w:rFonts w:hint="eastAsia" w:ascii="仿宋_GB2312" w:hAnsi="黑体" w:eastAsia="仿宋_GB2312"/>
          <w:sz w:val="28"/>
          <w:szCs w:val="28"/>
          <w:highlight w:val="none"/>
        </w:rPr>
        <w:t>。</w:t>
      </w:r>
    </w:p>
    <w:p w14:paraId="7E26725B">
      <w:pPr>
        <w:pStyle w:val="18"/>
        <w:widowControl/>
        <w:numPr>
          <w:ilvl w:val="0"/>
          <w:numId w:val="6"/>
        </w:numPr>
        <w:spacing w:line="600" w:lineRule="exact"/>
        <w:ind w:firstLineChars="0"/>
        <w:rPr>
          <w:rFonts w:ascii="仿宋_GB2312" w:hAnsi="黑体" w:eastAsia="仿宋_GB2312"/>
          <w:sz w:val="28"/>
          <w:szCs w:val="28"/>
          <w:highlight w:val="none"/>
        </w:rPr>
      </w:pPr>
      <w:r>
        <w:rPr>
          <w:rFonts w:hint="eastAsia" w:ascii="仿宋_GB2312" w:hAnsi="黑体" w:eastAsia="仿宋_GB2312"/>
          <w:sz w:val="28"/>
          <w:szCs w:val="28"/>
          <w:highlight w:val="none"/>
          <w:lang w:val="en-US" w:eastAsia="zh-CN"/>
        </w:rPr>
        <w:t>磋商</w:t>
      </w:r>
      <w:r>
        <w:rPr>
          <w:rFonts w:hint="eastAsia" w:ascii="仿宋_GB2312" w:hAnsi="黑体" w:eastAsia="仿宋_GB2312"/>
          <w:sz w:val="28"/>
          <w:szCs w:val="28"/>
          <w:highlight w:val="none"/>
        </w:rPr>
        <w:t>原则</w:t>
      </w:r>
    </w:p>
    <w:p w14:paraId="04CEB935">
      <w:pPr>
        <w:pStyle w:val="18"/>
        <w:widowControl/>
        <w:spacing w:line="600" w:lineRule="exact"/>
        <w:ind w:firstLine="560"/>
        <w:rPr>
          <w:rFonts w:ascii="仿宋_GB2312" w:hAnsi="黑体" w:eastAsia="仿宋_GB2312"/>
          <w:sz w:val="28"/>
          <w:szCs w:val="28"/>
          <w:highlight w:val="none"/>
        </w:rPr>
      </w:pPr>
      <w:r>
        <w:rPr>
          <w:rFonts w:hint="eastAsia" w:ascii="仿宋_GB2312" w:hAnsi="黑体" w:eastAsia="仿宋_GB2312"/>
          <w:sz w:val="28"/>
          <w:szCs w:val="28"/>
          <w:highlight w:val="none"/>
        </w:rPr>
        <w:t>采购</w:t>
      </w:r>
      <w:r>
        <w:rPr>
          <w:rFonts w:hint="eastAsia" w:ascii="仿宋_GB2312" w:hAnsi="黑体" w:eastAsia="仿宋_GB2312"/>
          <w:sz w:val="28"/>
          <w:szCs w:val="28"/>
          <w:highlight w:val="none"/>
          <w:lang w:eastAsia="zh-CN"/>
        </w:rPr>
        <w:t>方</w:t>
      </w:r>
      <w:r>
        <w:rPr>
          <w:rFonts w:hint="eastAsia" w:ascii="仿宋_GB2312" w:hAnsi="黑体" w:eastAsia="仿宋_GB2312"/>
          <w:sz w:val="28"/>
          <w:szCs w:val="28"/>
          <w:highlight w:val="none"/>
        </w:rPr>
        <w:t>遵循公平、公正的原则进行</w:t>
      </w:r>
      <w:r>
        <w:rPr>
          <w:rFonts w:hint="eastAsia" w:ascii="仿宋_GB2312" w:hAnsi="黑体" w:eastAsia="仿宋_GB2312"/>
          <w:sz w:val="28"/>
          <w:szCs w:val="28"/>
          <w:highlight w:val="none"/>
          <w:lang w:val="en-US" w:eastAsia="zh-CN"/>
        </w:rPr>
        <w:t>磋商</w:t>
      </w:r>
      <w:r>
        <w:rPr>
          <w:rFonts w:hint="eastAsia" w:ascii="仿宋_GB2312" w:hAnsi="黑体" w:eastAsia="仿宋_GB2312"/>
          <w:sz w:val="28"/>
          <w:szCs w:val="28"/>
          <w:highlight w:val="none"/>
        </w:rPr>
        <w:t>，采用同一程序和标准对供应商进行评估。</w:t>
      </w:r>
    </w:p>
    <w:p w14:paraId="699C0830">
      <w:pPr>
        <w:pStyle w:val="18"/>
        <w:widowControl/>
        <w:numPr>
          <w:ilvl w:val="0"/>
          <w:numId w:val="6"/>
        </w:numPr>
        <w:spacing w:line="600" w:lineRule="exact"/>
        <w:ind w:firstLineChars="0"/>
        <w:rPr>
          <w:rFonts w:ascii="仿宋_GB2312" w:hAnsi="黑体" w:eastAsia="仿宋_GB2312"/>
          <w:sz w:val="28"/>
          <w:szCs w:val="28"/>
          <w:highlight w:val="none"/>
        </w:rPr>
      </w:pPr>
      <w:r>
        <w:rPr>
          <w:rFonts w:hint="eastAsia" w:ascii="仿宋_GB2312" w:hAnsi="黑体" w:eastAsia="仿宋_GB2312"/>
          <w:sz w:val="28"/>
          <w:szCs w:val="28"/>
          <w:highlight w:val="none"/>
        </w:rPr>
        <w:t>评审方法</w:t>
      </w:r>
    </w:p>
    <w:p w14:paraId="39E7CAF9">
      <w:pPr>
        <w:pStyle w:val="18"/>
        <w:widowControl/>
        <w:spacing w:line="600" w:lineRule="exact"/>
        <w:ind w:firstLine="560"/>
        <w:rPr>
          <w:rFonts w:ascii="仿宋_GB2312" w:hAnsi="黑体" w:eastAsia="仿宋_GB2312"/>
          <w:sz w:val="28"/>
          <w:szCs w:val="28"/>
          <w:highlight w:val="none"/>
        </w:rPr>
      </w:pPr>
      <w:r>
        <w:rPr>
          <w:rFonts w:hint="eastAsia" w:ascii="仿宋_GB2312" w:hAnsi="黑体" w:eastAsia="仿宋_GB2312"/>
          <w:sz w:val="28"/>
          <w:szCs w:val="28"/>
          <w:highlight w:val="none"/>
        </w:rPr>
        <w:t>采购人采用</w:t>
      </w:r>
      <w:r>
        <w:rPr>
          <w:rFonts w:hint="eastAsia" w:ascii="仿宋_GB2312" w:hAnsi="黑体" w:eastAsia="仿宋_GB2312"/>
          <w:sz w:val="28"/>
          <w:szCs w:val="28"/>
          <w:highlight w:val="none"/>
          <w:lang w:val="en-US" w:eastAsia="zh-CN"/>
        </w:rPr>
        <w:t>以下评分表</w:t>
      </w:r>
      <w:r>
        <w:rPr>
          <w:rFonts w:hint="eastAsia" w:ascii="仿宋_GB2312" w:hAnsi="黑体" w:eastAsia="仿宋_GB2312"/>
          <w:sz w:val="28"/>
          <w:szCs w:val="28"/>
          <w:highlight w:val="none"/>
        </w:rPr>
        <w:t>对供应商进行评估打分</w:t>
      </w:r>
      <w:r>
        <w:rPr>
          <w:rFonts w:hint="eastAsia" w:ascii="仿宋_GB2312" w:hAnsi="黑体" w:eastAsia="仿宋_GB2312"/>
          <w:sz w:val="28"/>
          <w:szCs w:val="28"/>
          <w:highlight w:val="none"/>
          <w:lang w:eastAsia="zh-CN"/>
        </w:rPr>
        <w:t>，确定</w:t>
      </w:r>
      <w:r>
        <w:rPr>
          <w:rFonts w:hint="eastAsia" w:ascii="仿宋_GB2312" w:hAnsi="黑体" w:eastAsia="仿宋_GB2312"/>
          <w:sz w:val="28"/>
          <w:szCs w:val="28"/>
          <w:highlight w:val="none"/>
          <w:lang w:val="en-US" w:eastAsia="zh-CN"/>
        </w:rPr>
        <w:t>1家成交供应商</w:t>
      </w:r>
      <w:r>
        <w:rPr>
          <w:rFonts w:hint="eastAsia" w:ascii="仿宋_GB2312" w:hAnsi="黑体" w:eastAsia="仿宋_GB2312"/>
          <w:sz w:val="28"/>
          <w:szCs w:val="28"/>
          <w:highlight w:val="none"/>
        </w:rPr>
        <w:t>。具体指标</w:t>
      </w:r>
      <w:r>
        <w:rPr>
          <w:rFonts w:hint="eastAsia" w:ascii="仿宋_GB2312" w:hAnsi="黑体" w:eastAsia="仿宋_GB2312"/>
          <w:sz w:val="28"/>
          <w:szCs w:val="28"/>
          <w:highlight w:val="none"/>
          <w:lang w:val="en-US" w:eastAsia="zh-CN"/>
        </w:rPr>
        <w:t>、分值和评分细则</w:t>
      </w:r>
      <w:r>
        <w:rPr>
          <w:rFonts w:hint="eastAsia" w:ascii="仿宋_GB2312" w:hAnsi="黑体" w:eastAsia="仿宋_GB2312"/>
          <w:sz w:val="28"/>
          <w:szCs w:val="28"/>
          <w:highlight w:val="none"/>
        </w:rPr>
        <w:t>如下：</w:t>
      </w:r>
    </w:p>
    <w:tbl>
      <w:tblPr>
        <w:tblStyle w:val="12"/>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376"/>
        <w:gridCol w:w="4350"/>
        <w:gridCol w:w="2131"/>
      </w:tblGrid>
      <w:tr w14:paraId="48925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14:paraId="555EDC77">
            <w:pPr>
              <w:jc w:val="center"/>
              <w:rPr>
                <w:rFonts w:hint="eastAsia" w:eastAsia="宋体"/>
                <w:highlight w:val="none"/>
                <w:vertAlign w:val="baseline"/>
                <w:lang w:eastAsia="zh-CN"/>
              </w:rPr>
            </w:pPr>
            <w:r>
              <w:rPr>
                <w:rFonts w:hint="eastAsia"/>
                <w:highlight w:val="none"/>
                <w:vertAlign w:val="baseline"/>
                <w:lang w:eastAsia="zh-CN"/>
              </w:rPr>
              <w:t>序号</w:t>
            </w:r>
          </w:p>
        </w:tc>
        <w:tc>
          <w:tcPr>
            <w:tcW w:w="807" w:type="pct"/>
            <w:noWrap w:val="0"/>
            <w:vAlign w:val="center"/>
          </w:tcPr>
          <w:p w14:paraId="23F7D434">
            <w:pPr>
              <w:jc w:val="center"/>
              <w:rPr>
                <w:rFonts w:hint="eastAsia" w:eastAsia="宋体"/>
                <w:highlight w:val="none"/>
                <w:vertAlign w:val="baseline"/>
                <w:lang w:eastAsia="zh-CN"/>
              </w:rPr>
            </w:pPr>
            <w:r>
              <w:rPr>
                <w:rFonts w:hint="eastAsia"/>
                <w:highlight w:val="none"/>
                <w:vertAlign w:val="baseline"/>
                <w:lang w:eastAsia="zh-CN"/>
              </w:rPr>
              <w:t>评分方面</w:t>
            </w:r>
          </w:p>
        </w:tc>
        <w:tc>
          <w:tcPr>
            <w:tcW w:w="2552" w:type="pct"/>
            <w:noWrap w:val="0"/>
            <w:vAlign w:val="center"/>
          </w:tcPr>
          <w:p w14:paraId="535E511F">
            <w:pPr>
              <w:jc w:val="center"/>
              <w:rPr>
                <w:rFonts w:hint="eastAsia" w:eastAsia="宋体"/>
                <w:highlight w:val="none"/>
                <w:vertAlign w:val="baseline"/>
                <w:lang w:eastAsia="zh-CN"/>
              </w:rPr>
            </w:pPr>
            <w:r>
              <w:rPr>
                <w:rFonts w:hint="eastAsia"/>
                <w:highlight w:val="none"/>
                <w:vertAlign w:val="baseline"/>
                <w:lang w:eastAsia="zh-CN"/>
              </w:rPr>
              <w:t>评分标准</w:t>
            </w:r>
          </w:p>
        </w:tc>
        <w:tc>
          <w:tcPr>
            <w:tcW w:w="1250" w:type="pct"/>
            <w:noWrap w:val="0"/>
            <w:vAlign w:val="center"/>
          </w:tcPr>
          <w:p w14:paraId="7876E18E">
            <w:pPr>
              <w:jc w:val="center"/>
              <w:rPr>
                <w:rFonts w:hint="eastAsia" w:eastAsia="宋体"/>
                <w:highlight w:val="none"/>
                <w:vertAlign w:val="baseline"/>
                <w:lang w:eastAsia="zh-CN"/>
              </w:rPr>
            </w:pPr>
            <w:r>
              <w:rPr>
                <w:rFonts w:hint="eastAsia"/>
                <w:highlight w:val="none"/>
                <w:vertAlign w:val="baseline"/>
                <w:lang w:eastAsia="zh-CN"/>
              </w:rPr>
              <w:t>分值</w:t>
            </w:r>
          </w:p>
        </w:tc>
      </w:tr>
      <w:tr w14:paraId="306AB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14:paraId="6AC9C903">
            <w:pPr>
              <w:jc w:val="center"/>
              <w:rPr>
                <w:rFonts w:hint="eastAsia" w:eastAsia="宋体"/>
                <w:highlight w:val="none"/>
                <w:vertAlign w:val="baseline"/>
                <w:lang w:val="en-US" w:eastAsia="zh-CN"/>
              </w:rPr>
            </w:pPr>
            <w:r>
              <w:rPr>
                <w:rFonts w:hint="eastAsia"/>
                <w:highlight w:val="none"/>
                <w:vertAlign w:val="baseline"/>
                <w:lang w:val="en-US" w:eastAsia="zh-CN"/>
              </w:rPr>
              <w:t>1</w:t>
            </w:r>
          </w:p>
        </w:tc>
        <w:tc>
          <w:tcPr>
            <w:tcW w:w="807" w:type="pct"/>
            <w:noWrap w:val="0"/>
            <w:vAlign w:val="center"/>
          </w:tcPr>
          <w:p w14:paraId="48ED5D01">
            <w:pPr>
              <w:jc w:val="center"/>
              <w:rPr>
                <w:rFonts w:hint="eastAsia" w:eastAsia="宋体"/>
                <w:highlight w:val="none"/>
                <w:vertAlign w:val="baseline"/>
                <w:lang w:eastAsia="zh-CN"/>
              </w:rPr>
            </w:pPr>
            <w:r>
              <w:rPr>
                <w:rFonts w:hint="eastAsia"/>
                <w:highlight w:val="none"/>
                <w:vertAlign w:val="baseline"/>
                <w:lang w:eastAsia="zh-CN"/>
              </w:rPr>
              <w:t>报价</w:t>
            </w:r>
          </w:p>
        </w:tc>
        <w:tc>
          <w:tcPr>
            <w:tcW w:w="2552" w:type="pct"/>
            <w:noWrap w:val="0"/>
            <w:vAlign w:val="center"/>
          </w:tcPr>
          <w:p w14:paraId="09798B17">
            <w:pPr>
              <w:jc w:val="left"/>
              <w:rPr>
                <w:rFonts w:hint="eastAsia"/>
                <w:highlight w:val="none"/>
                <w:vertAlign w:val="baseline"/>
              </w:rPr>
            </w:pPr>
            <w:r>
              <w:rPr>
                <w:rFonts w:hint="eastAsia"/>
                <w:highlight w:val="none"/>
                <w:vertAlign w:val="baseline"/>
              </w:rPr>
              <w:t>满足</w:t>
            </w:r>
            <w:r>
              <w:rPr>
                <w:rFonts w:hint="eastAsia"/>
                <w:highlight w:val="none"/>
                <w:vertAlign w:val="baseline"/>
                <w:lang w:eastAsia="zh-CN"/>
              </w:rPr>
              <w:t>磋商</w:t>
            </w:r>
            <w:r>
              <w:rPr>
                <w:rFonts w:hint="eastAsia"/>
                <w:highlight w:val="none"/>
                <w:vertAlign w:val="baseline"/>
              </w:rPr>
              <w:t>文件要求且价格最低的报价为评标基准价，其价格分为满分。其他</w:t>
            </w:r>
            <w:r>
              <w:rPr>
                <w:rFonts w:hint="eastAsia"/>
                <w:highlight w:val="none"/>
                <w:vertAlign w:val="baseline"/>
                <w:lang w:eastAsia="zh-CN"/>
              </w:rPr>
              <w:t>响应</w:t>
            </w:r>
            <w:r>
              <w:rPr>
                <w:rFonts w:hint="eastAsia"/>
                <w:highlight w:val="none"/>
                <w:vertAlign w:val="baseline"/>
              </w:rPr>
              <w:t>人的价格分统一按照下列公式计算：</w:t>
            </w:r>
          </w:p>
          <w:p w14:paraId="2AA774F0">
            <w:pPr>
              <w:jc w:val="left"/>
              <w:rPr>
                <w:highlight w:val="none"/>
                <w:vertAlign w:val="baseline"/>
              </w:rPr>
            </w:pPr>
            <w:r>
              <w:rPr>
                <w:rFonts w:hint="eastAsia"/>
                <w:highlight w:val="none"/>
                <w:vertAlign w:val="baseline"/>
              </w:rPr>
              <w:t>报价得分=(评标基准价／报价)×价格权值×100</w:t>
            </w:r>
          </w:p>
        </w:tc>
        <w:tc>
          <w:tcPr>
            <w:tcW w:w="1250" w:type="pct"/>
            <w:noWrap w:val="0"/>
            <w:vAlign w:val="center"/>
          </w:tcPr>
          <w:p w14:paraId="58C2B07F">
            <w:pPr>
              <w:jc w:val="center"/>
              <w:rPr>
                <w:rFonts w:hint="default" w:eastAsia="宋体"/>
                <w:highlight w:val="none"/>
                <w:vertAlign w:val="baseline"/>
                <w:lang w:val="en-US" w:eastAsia="zh-CN"/>
              </w:rPr>
            </w:pPr>
            <w:r>
              <w:rPr>
                <w:rFonts w:hint="eastAsia"/>
                <w:highlight w:val="none"/>
                <w:vertAlign w:val="baseline"/>
                <w:lang w:val="en-US" w:eastAsia="zh-CN"/>
              </w:rPr>
              <w:t>30</w:t>
            </w:r>
          </w:p>
        </w:tc>
      </w:tr>
      <w:tr w14:paraId="4885E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14:paraId="7E118A12">
            <w:pPr>
              <w:jc w:val="center"/>
              <w:rPr>
                <w:rFonts w:hint="eastAsia" w:eastAsia="宋体"/>
                <w:highlight w:val="none"/>
                <w:vertAlign w:val="baseline"/>
                <w:lang w:val="en-US" w:eastAsia="zh-CN"/>
              </w:rPr>
            </w:pPr>
            <w:r>
              <w:rPr>
                <w:rFonts w:hint="eastAsia"/>
                <w:highlight w:val="none"/>
                <w:vertAlign w:val="baseline"/>
                <w:lang w:val="en-US" w:eastAsia="zh-CN"/>
              </w:rPr>
              <w:t>2</w:t>
            </w:r>
          </w:p>
        </w:tc>
        <w:tc>
          <w:tcPr>
            <w:tcW w:w="807" w:type="pct"/>
            <w:noWrap w:val="0"/>
            <w:vAlign w:val="center"/>
          </w:tcPr>
          <w:p w14:paraId="76A903EF">
            <w:pPr>
              <w:jc w:val="center"/>
              <w:rPr>
                <w:rFonts w:hint="eastAsia" w:eastAsia="宋体"/>
                <w:highlight w:val="none"/>
                <w:vertAlign w:val="baseline"/>
                <w:lang w:eastAsia="zh-CN"/>
              </w:rPr>
            </w:pPr>
            <w:r>
              <w:rPr>
                <w:rFonts w:hint="eastAsia"/>
                <w:highlight w:val="none"/>
                <w:vertAlign w:val="baseline"/>
                <w:lang w:eastAsia="zh-CN"/>
              </w:rPr>
              <w:t>项目经验</w:t>
            </w:r>
          </w:p>
        </w:tc>
        <w:tc>
          <w:tcPr>
            <w:tcW w:w="2552" w:type="pct"/>
            <w:noWrap w:val="0"/>
            <w:vAlign w:val="center"/>
          </w:tcPr>
          <w:p w14:paraId="0BD899FE">
            <w:pPr>
              <w:jc w:val="left"/>
              <w:rPr>
                <w:highlight w:val="none"/>
                <w:vertAlign w:val="baseline"/>
              </w:rPr>
            </w:pPr>
            <w:r>
              <w:rPr>
                <w:rFonts w:hint="eastAsia"/>
                <w:highlight w:val="none"/>
                <w:vertAlign w:val="baseline"/>
              </w:rPr>
              <w:t>根据</w:t>
            </w:r>
            <w:r>
              <w:rPr>
                <w:rFonts w:hint="eastAsia"/>
                <w:highlight w:val="none"/>
                <w:vertAlign w:val="baseline"/>
                <w:lang w:eastAsia="zh-CN"/>
              </w:rPr>
              <w:t>响应</w:t>
            </w:r>
            <w:r>
              <w:rPr>
                <w:rFonts w:hint="eastAsia"/>
                <w:highlight w:val="none"/>
                <w:vertAlign w:val="baseline"/>
              </w:rPr>
              <w:t>人提供的202</w:t>
            </w:r>
            <w:r>
              <w:rPr>
                <w:rFonts w:hint="eastAsia"/>
                <w:highlight w:val="none"/>
                <w:vertAlign w:val="baseline"/>
                <w:lang w:val="en-US" w:eastAsia="zh-CN"/>
              </w:rPr>
              <w:t>3</w:t>
            </w:r>
            <w:r>
              <w:rPr>
                <w:rFonts w:hint="eastAsia"/>
                <w:highlight w:val="none"/>
                <w:vertAlign w:val="baseline"/>
              </w:rPr>
              <w:t>年</w:t>
            </w:r>
            <w:r>
              <w:rPr>
                <w:rFonts w:hint="eastAsia"/>
                <w:highlight w:val="none"/>
                <w:vertAlign w:val="baseline"/>
                <w:lang w:val="en-US" w:eastAsia="zh-CN"/>
              </w:rPr>
              <w:t>6</w:t>
            </w:r>
            <w:r>
              <w:rPr>
                <w:rFonts w:hint="eastAsia"/>
                <w:highlight w:val="none"/>
                <w:vertAlign w:val="baseline"/>
              </w:rPr>
              <w:t>月</w:t>
            </w:r>
            <w:r>
              <w:rPr>
                <w:rFonts w:hint="eastAsia"/>
                <w:highlight w:val="none"/>
                <w:vertAlign w:val="baseline"/>
                <w:lang w:val="en-US" w:eastAsia="zh-CN"/>
              </w:rPr>
              <w:t>1</w:t>
            </w:r>
            <w:r>
              <w:rPr>
                <w:rFonts w:hint="eastAsia"/>
                <w:highlight w:val="none"/>
                <w:vertAlign w:val="baseline"/>
              </w:rPr>
              <w:t>日起至今的类似服务业绩，每1个业绩得</w:t>
            </w:r>
            <w:r>
              <w:rPr>
                <w:rFonts w:hint="eastAsia"/>
                <w:highlight w:val="none"/>
                <w:vertAlign w:val="baseline"/>
                <w:lang w:val="en-US" w:eastAsia="zh-CN"/>
              </w:rPr>
              <w:t>10</w:t>
            </w:r>
            <w:r>
              <w:rPr>
                <w:rFonts w:hint="eastAsia"/>
                <w:highlight w:val="none"/>
                <w:vertAlign w:val="baseline"/>
              </w:rPr>
              <w:t>分，满分</w:t>
            </w:r>
            <w:r>
              <w:rPr>
                <w:rFonts w:hint="eastAsia"/>
                <w:highlight w:val="none"/>
                <w:vertAlign w:val="baseline"/>
                <w:lang w:val="en-US" w:eastAsia="zh-CN"/>
              </w:rPr>
              <w:t>20</w:t>
            </w:r>
            <w:r>
              <w:rPr>
                <w:rFonts w:hint="eastAsia"/>
                <w:highlight w:val="none"/>
                <w:vertAlign w:val="baseline"/>
              </w:rPr>
              <w:t>分。（须附合同复印件并加盖企业公章，以合同为准）</w:t>
            </w:r>
          </w:p>
        </w:tc>
        <w:tc>
          <w:tcPr>
            <w:tcW w:w="1250" w:type="pct"/>
            <w:noWrap w:val="0"/>
            <w:vAlign w:val="center"/>
          </w:tcPr>
          <w:p w14:paraId="37CC75DD">
            <w:pPr>
              <w:jc w:val="center"/>
              <w:rPr>
                <w:rFonts w:hint="default" w:eastAsia="宋体"/>
                <w:highlight w:val="none"/>
                <w:vertAlign w:val="baseline"/>
                <w:lang w:val="en-US" w:eastAsia="zh-CN"/>
              </w:rPr>
            </w:pPr>
            <w:r>
              <w:rPr>
                <w:rFonts w:hint="eastAsia"/>
                <w:highlight w:val="none"/>
                <w:vertAlign w:val="baseline"/>
                <w:lang w:val="en-US" w:eastAsia="zh-CN"/>
              </w:rPr>
              <w:t>20</w:t>
            </w:r>
          </w:p>
        </w:tc>
      </w:tr>
      <w:tr w14:paraId="717E1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9" w:type="pct"/>
            <w:noWrap w:val="0"/>
            <w:vAlign w:val="center"/>
          </w:tcPr>
          <w:p w14:paraId="1FAEAE33">
            <w:pPr>
              <w:jc w:val="center"/>
              <w:rPr>
                <w:rFonts w:hint="default"/>
                <w:highlight w:val="none"/>
                <w:vertAlign w:val="baseline"/>
                <w:lang w:val="en-US" w:eastAsia="zh-CN"/>
              </w:rPr>
            </w:pPr>
            <w:r>
              <w:rPr>
                <w:rFonts w:hint="eastAsia"/>
                <w:highlight w:val="none"/>
                <w:vertAlign w:val="baseline"/>
                <w:lang w:val="en-US" w:eastAsia="zh-CN"/>
              </w:rPr>
              <w:t>3</w:t>
            </w:r>
          </w:p>
        </w:tc>
        <w:tc>
          <w:tcPr>
            <w:tcW w:w="807" w:type="pct"/>
            <w:noWrap w:val="0"/>
            <w:vAlign w:val="center"/>
          </w:tcPr>
          <w:p w14:paraId="52E8EDA1">
            <w:pPr>
              <w:jc w:val="center"/>
              <w:rPr>
                <w:rFonts w:hint="eastAsia"/>
                <w:highlight w:val="none"/>
                <w:vertAlign w:val="baseline"/>
                <w:lang w:eastAsia="zh-CN"/>
              </w:rPr>
            </w:pPr>
            <w:r>
              <w:rPr>
                <w:rFonts w:hint="eastAsia"/>
                <w:highlight w:val="none"/>
                <w:vertAlign w:val="baseline"/>
                <w:lang w:eastAsia="zh-CN"/>
              </w:rPr>
              <w:t>工期</w:t>
            </w:r>
          </w:p>
        </w:tc>
        <w:tc>
          <w:tcPr>
            <w:tcW w:w="2552" w:type="pct"/>
            <w:noWrap w:val="0"/>
            <w:vAlign w:val="center"/>
          </w:tcPr>
          <w:p w14:paraId="7AA28C77">
            <w:pPr>
              <w:jc w:val="left"/>
              <w:rPr>
                <w:rFonts w:hint="eastAsia"/>
                <w:highlight w:val="none"/>
                <w:vertAlign w:val="baseline"/>
                <w:lang w:val="en-US" w:eastAsia="zh-CN"/>
              </w:rPr>
            </w:pPr>
            <w:r>
              <w:rPr>
                <w:rFonts w:hint="eastAsia"/>
                <w:highlight w:val="none"/>
                <w:vertAlign w:val="baseline"/>
                <w:lang w:val="en-US" w:eastAsia="zh-CN"/>
              </w:rPr>
              <w:t>5个自然日内，得30分；</w:t>
            </w:r>
          </w:p>
          <w:p w14:paraId="0ED3E4F4">
            <w:pPr>
              <w:jc w:val="left"/>
              <w:rPr>
                <w:rFonts w:hint="eastAsia"/>
                <w:highlight w:val="none"/>
                <w:vertAlign w:val="baseline"/>
                <w:lang w:val="en-US" w:eastAsia="zh-CN"/>
              </w:rPr>
            </w:pPr>
            <w:r>
              <w:rPr>
                <w:rFonts w:hint="eastAsia"/>
                <w:highlight w:val="none"/>
                <w:vertAlign w:val="baseline"/>
                <w:lang w:val="en-US" w:eastAsia="zh-CN"/>
              </w:rPr>
              <w:t>5-10个自然日，得20分；</w:t>
            </w:r>
          </w:p>
          <w:p w14:paraId="0BBA02E6">
            <w:pPr>
              <w:jc w:val="left"/>
              <w:rPr>
                <w:rFonts w:hint="eastAsia"/>
                <w:highlight w:val="none"/>
                <w:vertAlign w:val="baseline"/>
                <w:lang w:val="en-US" w:eastAsia="zh-CN"/>
              </w:rPr>
            </w:pPr>
            <w:r>
              <w:rPr>
                <w:rFonts w:hint="eastAsia"/>
                <w:highlight w:val="none"/>
                <w:vertAlign w:val="baseline"/>
                <w:lang w:val="en-US" w:eastAsia="zh-CN"/>
              </w:rPr>
              <w:t>10-14个自然日，得10分；</w:t>
            </w:r>
          </w:p>
          <w:p w14:paraId="35D4B47F">
            <w:pPr>
              <w:jc w:val="left"/>
              <w:rPr>
                <w:rFonts w:hint="default"/>
                <w:highlight w:val="none"/>
                <w:vertAlign w:val="baseline"/>
                <w:lang w:val="en-US" w:eastAsia="zh-CN"/>
              </w:rPr>
            </w:pPr>
            <w:r>
              <w:rPr>
                <w:rFonts w:hint="eastAsia"/>
                <w:highlight w:val="none"/>
                <w:vertAlign w:val="baseline"/>
                <w:lang w:val="en-US" w:eastAsia="zh-CN"/>
              </w:rPr>
              <w:t>超14个自然日，得0分。</w:t>
            </w:r>
          </w:p>
        </w:tc>
        <w:tc>
          <w:tcPr>
            <w:tcW w:w="1250" w:type="pct"/>
            <w:noWrap w:val="0"/>
            <w:vAlign w:val="center"/>
          </w:tcPr>
          <w:p w14:paraId="4913798E">
            <w:pPr>
              <w:jc w:val="center"/>
              <w:rPr>
                <w:rFonts w:hint="default"/>
                <w:highlight w:val="none"/>
                <w:vertAlign w:val="baseline"/>
                <w:lang w:val="en-US" w:eastAsia="zh-CN"/>
              </w:rPr>
            </w:pPr>
            <w:r>
              <w:rPr>
                <w:rFonts w:hint="eastAsia"/>
                <w:highlight w:val="none"/>
                <w:vertAlign w:val="baseline"/>
                <w:lang w:val="en-US" w:eastAsia="zh-CN"/>
              </w:rPr>
              <w:t>30</w:t>
            </w:r>
          </w:p>
        </w:tc>
      </w:tr>
      <w:tr w14:paraId="0075F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noWrap w:val="0"/>
            <w:vAlign w:val="center"/>
          </w:tcPr>
          <w:p w14:paraId="348DA992">
            <w:pPr>
              <w:jc w:val="center"/>
              <w:rPr>
                <w:rFonts w:hint="eastAsia" w:eastAsia="宋体"/>
                <w:highlight w:val="none"/>
                <w:vertAlign w:val="baseline"/>
                <w:lang w:val="en-US" w:eastAsia="zh-CN"/>
              </w:rPr>
            </w:pPr>
            <w:r>
              <w:rPr>
                <w:rFonts w:hint="eastAsia"/>
                <w:highlight w:val="none"/>
                <w:vertAlign w:val="baseline"/>
                <w:lang w:val="en-US" w:eastAsia="zh-CN"/>
              </w:rPr>
              <w:t>4</w:t>
            </w:r>
          </w:p>
        </w:tc>
        <w:tc>
          <w:tcPr>
            <w:tcW w:w="807" w:type="pct"/>
            <w:noWrap w:val="0"/>
            <w:vAlign w:val="center"/>
          </w:tcPr>
          <w:p w14:paraId="4F957F66">
            <w:pPr>
              <w:jc w:val="center"/>
              <w:rPr>
                <w:rFonts w:hint="eastAsia" w:eastAsia="宋体"/>
                <w:highlight w:val="none"/>
                <w:vertAlign w:val="baseline"/>
                <w:lang w:eastAsia="zh-CN"/>
              </w:rPr>
            </w:pPr>
            <w:r>
              <w:rPr>
                <w:rFonts w:hint="eastAsia"/>
                <w:highlight w:val="none"/>
                <w:vertAlign w:val="baseline"/>
                <w:lang w:eastAsia="zh-CN"/>
              </w:rPr>
              <w:t>改造方案</w:t>
            </w:r>
          </w:p>
        </w:tc>
        <w:tc>
          <w:tcPr>
            <w:tcW w:w="2552" w:type="pct"/>
            <w:noWrap w:val="0"/>
            <w:vAlign w:val="center"/>
          </w:tcPr>
          <w:p w14:paraId="4903B84F">
            <w:pPr>
              <w:jc w:val="left"/>
              <w:rPr>
                <w:rFonts w:hint="eastAsia"/>
                <w:highlight w:val="none"/>
                <w:vertAlign w:val="baseline"/>
                <w:lang w:val="en-US" w:eastAsia="zh-CN"/>
              </w:rPr>
            </w:pPr>
            <w:r>
              <w:rPr>
                <w:rFonts w:hint="eastAsia"/>
                <w:highlight w:val="none"/>
                <w:vertAlign w:val="baseline"/>
                <w:lang w:eastAsia="zh-CN"/>
              </w:rPr>
              <w:t>改造方案非常贴合需求，方案十分合理的，得</w:t>
            </w:r>
            <w:r>
              <w:rPr>
                <w:rFonts w:hint="eastAsia"/>
                <w:highlight w:val="none"/>
                <w:vertAlign w:val="baseline"/>
                <w:lang w:val="en-US" w:eastAsia="zh-CN"/>
              </w:rPr>
              <w:t>12-20分；</w:t>
            </w:r>
          </w:p>
          <w:p w14:paraId="38491036">
            <w:pPr>
              <w:jc w:val="left"/>
              <w:rPr>
                <w:rFonts w:hint="eastAsia"/>
                <w:highlight w:val="none"/>
                <w:vertAlign w:val="baseline"/>
                <w:lang w:val="en-US" w:eastAsia="zh-CN"/>
              </w:rPr>
            </w:pPr>
            <w:r>
              <w:rPr>
                <w:rFonts w:hint="eastAsia"/>
                <w:highlight w:val="none"/>
                <w:vertAlign w:val="baseline"/>
                <w:lang w:eastAsia="zh-CN"/>
              </w:rPr>
              <w:t>改造方案一般贴合需求，方案较合理的，得</w:t>
            </w:r>
            <w:r>
              <w:rPr>
                <w:rFonts w:hint="eastAsia"/>
                <w:highlight w:val="none"/>
                <w:vertAlign w:val="baseline"/>
                <w:lang w:val="en-US" w:eastAsia="zh-CN"/>
              </w:rPr>
              <w:t>6-11分；</w:t>
            </w:r>
          </w:p>
          <w:p w14:paraId="5EBD48E7">
            <w:pPr>
              <w:jc w:val="left"/>
              <w:rPr>
                <w:rFonts w:hint="eastAsia"/>
                <w:highlight w:val="none"/>
                <w:vertAlign w:val="baseline"/>
                <w:lang w:val="en-US" w:eastAsia="zh-CN"/>
              </w:rPr>
            </w:pPr>
            <w:r>
              <w:rPr>
                <w:rFonts w:hint="eastAsia"/>
                <w:highlight w:val="none"/>
                <w:vertAlign w:val="baseline"/>
                <w:lang w:val="en-US" w:eastAsia="zh-CN"/>
              </w:rPr>
              <w:t>虽有改造方案但与需求不符，方案不清晰的，得1-5分；</w:t>
            </w:r>
          </w:p>
          <w:p w14:paraId="19E0B832">
            <w:pPr>
              <w:jc w:val="left"/>
              <w:rPr>
                <w:rFonts w:hint="default"/>
                <w:highlight w:val="none"/>
                <w:vertAlign w:val="baseline"/>
                <w:lang w:val="en-US" w:eastAsia="zh-CN"/>
              </w:rPr>
            </w:pPr>
            <w:r>
              <w:rPr>
                <w:rFonts w:hint="eastAsia"/>
                <w:highlight w:val="none"/>
                <w:vertAlign w:val="baseline"/>
                <w:lang w:val="en-US" w:eastAsia="zh-CN"/>
              </w:rPr>
              <w:t>没有改造方案的，得0分。</w:t>
            </w:r>
          </w:p>
        </w:tc>
        <w:tc>
          <w:tcPr>
            <w:tcW w:w="1250" w:type="pct"/>
            <w:noWrap w:val="0"/>
            <w:vAlign w:val="center"/>
          </w:tcPr>
          <w:p w14:paraId="36D710C2">
            <w:pPr>
              <w:jc w:val="center"/>
              <w:rPr>
                <w:rFonts w:hint="default" w:eastAsia="宋体"/>
                <w:highlight w:val="none"/>
                <w:vertAlign w:val="baseline"/>
                <w:lang w:val="en-US" w:eastAsia="zh-CN"/>
              </w:rPr>
            </w:pPr>
            <w:r>
              <w:rPr>
                <w:rFonts w:hint="eastAsia"/>
                <w:highlight w:val="none"/>
                <w:vertAlign w:val="baseline"/>
                <w:lang w:val="en-US" w:eastAsia="zh-CN"/>
              </w:rPr>
              <w:t>20</w:t>
            </w:r>
          </w:p>
        </w:tc>
      </w:tr>
    </w:tbl>
    <w:p w14:paraId="697F088B">
      <w:pPr>
        <w:pStyle w:val="18"/>
        <w:widowControl/>
        <w:numPr>
          <w:ilvl w:val="0"/>
          <w:numId w:val="0"/>
        </w:numPr>
        <w:spacing w:line="600" w:lineRule="exact"/>
        <w:ind w:leftChars="0"/>
        <w:jc w:val="both"/>
        <w:outlineLvl w:val="0"/>
        <w:rPr>
          <w:rFonts w:ascii="仿宋_GB2312" w:hAnsi="黑体" w:eastAsia="仿宋_GB2312"/>
          <w:b/>
          <w:sz w:val="28"/>
          <w:szCs w:val="28"/>
          <w:highlight w:val="none"/>
        </w:rPr>
      </w:pPr>
      <w:bookmarkStart w:id="12" w:name="_Toc11603"/>
    </w:p>
    <w:p w14:paraId="68B366E4">
      <w:pPr>
        <w:pStyle w:val="18"/>
        <w:widowControl/>
        <w:numPr>
          <w:ilvl w:val="0"/>
          <w:numId w:val="1"/>
        </w:numPr>
        <w:spacing w:line="600" w:lineRule="exact"/>
        <w:ind w:firstLineChars="0"/>
        <w:jc w:val="center"/>
        <w:outlineLvl w:val="0"/>
        <w:rPr>
          <w:rFonts w:ascii="仿宋_GB2312" w:hAnsi="黑体" w:eastAsia="仿宋_GB2312"/>
          <w:b/>
          <w:sz w:val="28"/>
          <w:szCs w:val="28"/>
          <w:highlight w:val="none"/>
        </w:rPr>
      </w:pPr>
      <w:r>
        <w:rPr>
          <w:rFonts w:hint="eastAsia" w:ascii="仿宋_GB2312" w:hAnsi="黑体" w:eastAsia="仿宋_GB2312"/>
          <w:b/>
          <w:sz w:val="28"/>
          <w:szCs w:val="28"/>
          <w:highlight w:val="none"/>
        </w:rPr>
        <w:t>响应文件要求</w:t>
      </w:r>
      <w:bookmarkEnd w:id="12"/>
    </w:p>
    <w:p w14:paraId="25247FD6">
      <w:pPr>
        <w:pStyle w:val="18"/>
        <w:numPr>
          <w:ilvl w:val="0"/>
          <w:numId w:val="7"/>
        </w:numPr>
        <w:spacing w:line="600" w:lineRule="exact"/>
        <w:ind w:firstLineChars="0"/>
        <w:outlineLvl w:val="1"/>
        <w:rPr>
          <w:rFonts w:ascii="仿宋_GB2312" w:hAnsi="黑体" w:eastAsia="仿宋_GB2312"/>
          <w:b/>
          <w:bCs/>
          <w:sz w:val="28"/>
          <w:szCs w:val="28"/>
          <w:highlight w:val="none"/>
        </w:rPr>
      </w:pPr>
      <w:bookmarkStart w:id="13" w:name="_Toc21217"/>
      <w:r>
        <w:rPr>
          <w:rFonts w:hint="eastAsia" w:ascii="仿宋_GB2312" w:hAnsi="黑体" w:eastAsia="仿宋_GB2312"/>
          <w:b/>
          <w:bCs/>
          <w:sz w:val="28"/>
          <w:szCs w:val="28"/>
          <w:highlight w:val="none"/>
        </w:rPr>
        <w:t>响应文件编制</w:t>
      </w:r>
      <w:bookmarkEnd w:id="13"/>
    </w:p>
    <w:p w14:paraId="1723041E">
      <w:pPr>
        <w:pStyle w:val="18"/>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560" w:firstLineChars="200"/>
        <w:textAlignment w:val="auto"/>
        <w:rPr>
          <w:rFonts w:ascii="仿宋_GB2312" w:hAnsi="黑体" w:eastAsia="仿宋_GB2312"/>
          <w:sz w:val="28"/>
          <w:szCs w:val="28"/>
          <w:highlight w:val="none"/>
        </w:rPr>
      </w:pPr>
      <w:r>
        <w:rPr>
          <w:rFonts w:hint="eastAsia" w:ascii="仿宋_GB2312" w:hAnsi="黑体" w:eastAsia="仿宋_GB2312"/>
          <w:sz w:val="28"/>
          <w:szCs w:val="28"/>
          <w:highlight w:val="none"/>
        </w:rPr>
        <w:t>供应商应准备</w:t>
      </w:r>
      <w:r>
        <w:rPr>
          <w:rFonts w:hint="eastAsia" w:ascii="仿宋_GB2312" w:hAnsi="黑体" w:eastAsia="仿宋_GB2312"/>
          <w:sz w:val="28"/>
          <w:szCs w:val="28"/>
          <w:highlight w:val="none"/>
          <w:lang w:val="en-US" w:eastAsia="zh-CN"/>
        </w:rPr>
        <w:t>1</w:t>
      </w:r>
      <w:r>
        <w:rPr>
          <w:rFonts w:hint="eastAsia" w:ascii="仿宋_GB2312" w:hAnsi="黑体" w:eastAsia="仿宋_GB2312"/>
          <w:sz w:val="28"/>
          <w:szCs w:val="28"/>
          <w:highlight w:val="none"/>
        </w:rPr>
        <w:t>份</w:t>
      </w:r>
      <w:r>
        <w:rPr>
          <w:rFonts w:hint="eastAsia" w:ascii="仿宋_GB2312" w:hAnsi="黑体" w:eastAsia="仿宋_GB2312"/>
          <w:sz w:val="28"/>
          <w:szCs w:val="28"/>
          <w:highlight w:val="none"/>
          <w:lang w:eastAsia="zh-CN"/>
        </w:rPr>
        <w:t>包含报价的</w:t>
      </w:r>
      <w:r>
        <w:rPr>
          <w:rFonts w:hint="eastAsia" w:ascii="仿宋_GB2312" w:hAnsi="黑体" w:eastAsia="仿宋_GB2312"/>
          <w:sz w:val="28"/>
          <w:szCs w:val="28"/>
          <w:highlight w:val="none"/>
        </w:rPr>
        <w:t>响应文件。</w:t>
      </w:r>
    </w:p>
    <w:p w14:paraId="54C787CC">
      <w:pPr>
        <w:pStyle w:val="18"/>
        <w:numPr>
          <w:ilvl w:val="0"/>
          <w:numId w:val="7"/>
        </w:numPr>
        <w:spacing w:line="600" w:lineRule="exact"/>
        <w:ind w:firstLineChars="0"/>
        <w:outlineLvl w:val="1"/>
        <w:rPr>
          <w:rFonts w:ascii="仿宋_GB2312" w:hAnsi="黑体" w:eastAsia="仿宋_GB2312"/>
          <w:b/>
          <w:bCs/>
          <w:sz w:val="28"/>
          <w:szCs w:val="28"/>
          <w:highlight w:val="none"/>
        </w:rPr>
      </w:pPr>
      <w:bookmarkStart w:id="14" w:name="_Toc31459"/>
      <w:r>
        <w:rPr>
          <w:rFonts w:hint="eastAsia" w:ascii="仿宋_GB2312" w:hAnsi="黑体" w:eastAsia="仿宋_GB2312"/>
          <w:b/>
          <w:bCs/>
          <w:sz w:val="28"/>
          <w:szCs w:val="28"/>
          <w:highlight w:val="none"/>
        </w:rPr>
        <w:t>响应文件有效期</w:t>
      </w:r>
      <w:bookmarkEnd w:id="14"/>
    </w:p>
    <w:p w14:paraId="0EB498B7">
      <w:pPr>
        <w:pStyle w:val="18"/>
        <w:widowControl/>
        <w:spacing w:line="600" w:lineRule="exact"/>
        <w:ind w:firstLine="560"/>
        <w:rPr>
          <w:rFonts w:ascii="仿宋_GB2312" w:hAnsi="黑体" w:eastAsia="仿宋_GB2312"/>
          <w:sz w:val="28"/>
          <w:szCs w:val="28"/>
          <w:highlight w:val="none"/>
        </w:rPr>
      </w:pPr>
      <w:r>
        <w:rPr>
          <w:rFonts w:hint="eastAsia" w:ascii="仿宋_GB2312" w:hAnsi="黑体" w:eastAsia="仿宋_GB2312"/>
          <w:sz w:val="28"/>
          <w:szCs w:val="28"/>
          <w:highlight w:val="none"/>
        </w:rPr>
        <w:t>有效期至竞争性</w:t>
      </w:r>
      <w:r>
        <w:rPr>
          <w:rFonts w:hint="eastAsia" w:ascii="仿宋_GB2312" w:hAnsi="黑体" w:eastAsia="仿宋_GB2312"/>
          <w:sz w:val="28"/>
          <w:szCs w:val="28"/>
          <w:highlight w:val="none"/>
          <w:lang w:val="en-US" w:eastAsia="zh-CN"/>
        </w:rPr>
        <w:t>磋商</w:t>
      </w:r>
      <w:r>
        <w:rPr>
          <w:rFonts w:hint="eastAsia" w:ascii="仿宋_GB2312" w:hAnsi="黑体" w:eastAsia="仿宋_GB2312"/>
          <w:sz w:val="28"/>
          <w:szCs w:val="28"/>
          <w:highlight w:val="none"/>
        </w:rPr>
        <w:t>结束之日，对成交供应商，延长至合同执行完毕时止。</w:t>
      </w:r>
    </w:p>
    <w:p w14:paraId="03AD5FD5">
      <w:pPr>
        <w:pStyle w:val="18"/>
        <w:numPr>
          <w:ilvl w:val="0"/>
          <w:numId w:val="7"/>
        </w:numPr>
        <w:spacing w:line="600" w:lineRule="exact"/>
        <w:ind w:firstLineChars="0"/>
        <w:outlineLvl w:val="1"/>
        <w:rPr>
          <w:rFonts w:ascii="仿宋_GB2312" w:hAnsi="黑体" w:eastAsia="仿宋_GB2312"/>
          <w:b/>
          <w:bCs/>
          <w:sz w:val="28"/>
          <w:szCs w:val="28"/>
          <w:highlight w:val="none"/>
        </w:rPr>
      </w:pPr>
      <w:bookmarkStart w:id="15" w:name="_Toc20168"/>
      <w:r>
        <w:rPr>
          <w:rFonts w:hint="eastAsia" w:ascii="仿宋_GB2312" w:hAnsi="黑体" w:eastAsia="仿宋_GB2312"/>
          <w:b/>
          <w:bCs/>
          <w:sz w:val="28"/>
          <w:szCs w:val="28"/>
          <w:highlight w:val="none"/>
        </w:rPr>
        <w:t>响应文件递交</w:t>
      </w:r>
      <w:bookmarkEnd w:id="15"/>
    </w:p>
    <w:p w14:paraId="45D37CD9">
      <w:pPr>
        <w:widowControl/>
        <w:spacing w:line="600" w:lineRule="exact"/>
        <w:ind w:firstLine="560" w:firstLineChars="200"/>
        <w:jc w:val="left"/>
        <w:rPr>
          <w:rFonts w:hint="eastAsia" w:ascii="仿宋_GB2312" w:hAnsi="黑体" w:eastAsia="仿宋_GB2312"/>
          <w:sz w:val="28"/>
          <w:szCs w:val="28"/>
          <w:highlight w:val="none"/>
        </w:rPr>
      </w:pPr>
      <w:r>
        <w:rPr>
          <w:rFonts w:hint="eastAsia" w:ascii="仿宋_GB2312" w:hAnsi="黑体" w:eastAsia="仿宋_GB2312"/>
          <w:sz w:val="28"/>
          <w:szCs w:val="28"/>
          <w:highlight w:val="none"/>
        </w:rPr>
        <w:t>供应商应在截止时间</w:t>
      </w:r>
      <w:r>
        <w:rPr>
          <w:rFonts w:hint="eastAsia" w:ascii="仿宋_GB2312" w:hAnsi="黑体" w:eastAsia="仿宋_GB2312"/>
          <w:sz w:val="28"/>
          <w:szCs w:val="28"/>
          <w:highlight w:val="none"/>
          <w:lang w:eastAsia="zh-CN"/>
        </w:rPr>
        <w:t>前</w:t>
      </w:r>
      <w:r>
        <w:rPr>
          <w:rFonts w:hint="eastAsia" w:ascii="仿宋_GB2312" w:hAnsi="黑体" w:eastAsia="仿宋_GB2312"/>
          <w:sz w:val="28"/>
          <w:szCs w:val="28"/>
          <w:highlight w:val="none"/>
        </w:rPr>
        <w:t>提交响应文件</w:t>
      </w:r>
      <w:r>
        <w:rPr>
          <w:rFonts w:hint="eastAsia" w:ascii="仿宋_GB2312" w:hAnsi="黑体" w:eastAsia="仿宋_GB2312"/>
          <w:sz w:val="28"/>
          <w:szCs w:val="28"/>
          <w:highlight w:val="none"/>
          <w:lang w:eastAsia="zh-CN"/>
        </w:rPr>
        <w:t>，</w:t>
      </w:r>
      <w:r>
        <w:rPr>
          <w:rFonts w:hint="eastAsia" w:ascii="仿宋_GB2312" w:hAnsi="黑体" w:eastAsia="仿宋_GB2312"/>
          <w:sz w:val="28"/>
          <w:szCs w:val="28"/>
          <w:highlight w:val="none"/>
        </w:rPr>
        <w:t>在截止时间后</w:t>
      </w:r>
      <w:r>
        <w:rPr>
          <w:rFonts w:hint="eastAsia" w:ascii="仿宋_GB2312" w:hAnsi="黑体" w:eastAsia="仿宋_GB2312"/>
          <w:sz w:val="28"/>
          <w:szCs w:val="28"/>
          <w:highlight w:val="none"/>
          <w:lang w:eastAsia="zh-CN"/>
        </w:rPr>
        <w:t>提交</w:t>
      </w:r>
      <w:r>
        <w:rPr>
          <w:rFonts w:hint="eastAsia" w:ascii="仿宋_GB2312" w:hAnsi="黑体" w:eastAsia="仿宋_GB2312"/>
          <w:sz w:val="28"/>
          <w:szCs w:val="28"/>
          <w:highlight w:val="none"/>
        </w:rPr>
        <w:t>的响应文件为无效文件，采购</w:t>
      </w:r>
      <w:r>
        <w:rPr>
          <w:rFonts w:hint="eastAsia" w:ascii="仿宋_GB2312" w:hAnsi="黑体" w:eastAsia="仿宋_GB2312"/>
          <w:sz w:val="28"/>
          <w:szCs w:val="28"/>
          <w:highlight w:val="none"/>
          <w:lang w:eastAsia="zh-CN"/>
        </w:rPr>
        <w:t>方</w:t>
      </w:r>
      <w:r>
        <w:rPr>
          <w:rFonts w:hint="eastAsia" w:ascii="仿宋_GB2312" w:hAnsi="黑体" w:eastAsia="仿宋_GB2312"/>
          <w:sz w:val="28"/>
          <w:szCs w:val="28"/>
          <w:highlight w:val="none"/>
        </w:rPr>
        <w:t>将予以拒收。</w:t>
      </w:r>
    </w:p>
    <w:p w14:paraId="11A56F84">
      <w:pPr>
        <w:widowControl/>
        <w:spacing w:line="600" w:lineRule="exact"/>
        <w:ind w:firstLine="560" w:firstLineChars="200"/>
        <w:jc w:val="left"/>
        <w:rPr>
          <w:rFonts w:hint="eastAsia" w:ascii="仿宋_GB2312" w:hAnsi="黑体" w:eastAsia="仿宋_GB2312"/>
          <w:sz w:val="28"/>
          <w:szCs w:val="28"/>
          <w:highlight w:val="none"/>
        </w:rPr>
      </w:pPr>
    </w:p>
    <w:p w14:paraId="73A5AC58">
      <w:pPr>
        <w:widowControl/>
        <w:spacing w:line="600" w:lineRule="exact"/>
        <w:ind w:firstLine="560" w:firstLineChars="200"/>
        <w:jc w:val="left"/>
        <w:rPr>
          <w:rFonts w:hint="eastAsia" w:ascii="仿宋_GB2312" w:hAnsi="黑体" w:eastAsia="仿宋_GB2312"/>
          <w:sz w:val="28"/>
          <w:szCs w:val="28"/>
          <w:highlight w:val="none"/>
        </w:rPr>
      </w:pPr>
    </w:p>
    <w:p w14:paraId="230AB900">
      <w:pPr>
        <w:widowControl/>
        <w:spacing w:line="600" w:lineRule="exact"/>
        <w:ind w:firstLine="560" w:firstLineChars="200"/>
        <w:jc w:val="right"/>
        <w:rPr>
          <w:rFonts w:hint="eastAsia" w:ascii="仿宋_GB2312" w:hAnsi="黑体" w:eastAsia="仿宋_GB2312"/>
          <w:sz w:val="28"/>
          <w:szCs w:val="28"/>
          <w:highlight w:val="none"/>
          <w:lang w:eastAsia="zh-CN"/>
        </w:rPr>
      </w:pPr>
      <w:r>
        <w:rPr>
          <w:rFonts w:hint="eastAsia" w:ascii="仿宋_GB2312" w:hAnsi="黑体" w:eastAsia="仿宋_GB2312"/>
          <w:sz w:val="28"/>
          <w:szCs w:val="28"/>
          <w:highlight w:val="none"/>
          <w:lang w:eastAsia="zh-CN"/>
        </w:rPr>
        <w:t>中证中小投资者服务中心</w:t>
      </w:r>
    </w:p>
    <w:p w14:paraId="7A310ADD">
      <w:pPr>
        <w:widowControl/>
        <w:wordWrap w:val="0"/>
        <w:spacing w:line="600" w:lineRule="exact"/>
        <w:ind w:firstLine="560" w:firstLineChars="200"/>
        <w:jc w:val="right"/>
        <w:rPr>
          <w:rFonts w:hint="default" w:ascii="仿宋_GB2312" w:hAnsi="黑体" w:eastAsia="仿宋_GB2312"/>
          <w:sz w:val="28"/>
          <w:szCs w:val="28"/>
          <w:highlight w:val="none"/>
          <w:lang w:val="en-US" w:eastAsia="zh-CN"/>
        </w:rPr>
      </w:pPr>
      <w:r>
        <w:rPr>
          <w:rFonts w:hint="eastAsia" w:ascii="仿宋_GB2312" w:hAnsi="黑体" w:eastAsia="仿宋_GB2312"/>
          <w:sz w:val="28"/>
          <w:szCs w:val="28"/>
          <w:highlight w:val="none"/>
          <w:lang w:val="en-US" w:eastAsia="zh-CN"/>
        </w:rPr>
        <w:t xml:space="preserve">2026年7月2日  </w:t>
      </w:r>
    </w:p>
    <w:sectPr>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Optimum">
    <w:altName w:val="宋体"/>
    <w:panose1 w:val="00000000000000000000"/>
    <w:charset w:val="86"/>
    <w:family w:val="roma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417665"/>
      <w:docPartObj>
        <w:docPartGallery w:val="autotext"/>
      </w:docPartObj>
    </w:sdtPr>
    <w:sdtContent>
      <w:p w14:paraId="1C802EA3">
        <w:pPr>
          <w:pStyle w:val="5"/>
          <w:jc w:val="center"/>
        </w:pPr>
        <w:r>
          <w:fldChar w:fldCharType="begin"/>
        </w:r>
        <w:r>
          <w:instrText xml:space="preserve"> PAGE   \* MERGEFORMAT </w:instrText>
        </w:r>
        <w:r>
          <w:fldChar w:fldCharType="separate"/>
        </w:r>
        <w:r>
          <w:rPr>
            <w:lang w:val="zh-CN"/>
          </w:rPr>
          <w:t>2</w:t>
        </w:r>
        <w:r>
          <w:rPr>
            <w:lang w:val="zh-CN"/>
          </w:rPr>
          <w:fldChar w:fldCharType="end"/>
        </w:r>
      </w:p>
    </w:sdtContent>
  </w:sdt>
  <w:p w14:paraId="7D21B450">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8036B">
    <w:pPr>
      <w:pStyle w:val="6"/>
      <w:pBdr>
        <w:top w:val="none" w:color="auto" w:sz="0" w:space="0"/>
        <w:left w:val="none" w:color="auto" w:sz="0" w:space="0"/>
        <w:bottom w:val="none" w:color="auto" w:sz="0" w:space="1"/>
        <w:right w:val="none" w:color="auto" w:sz="0" w:space="0"/>
        <w:between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3F7586"/>
    <w:multiLevelType w:val="multilevel"/>
    <w:tmpl w:val="093F7586"/>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95676D"/>
    <w:multiLevelType w:val="multilevel"/>
    <w:tmpl w:val="1095676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65F61F7"/>
    <w:multiLevelType w:val="multilevel"/>
    <w:tmpl w:val="165F61F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AFA1C50"/>
    <w:multiLevelType w:val="multilevel"/>
    <w:tmpl w:val="4AFA1C50"/>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5CE6123"/>
    <w:multiLevelType w:val="multilevel"/>
    <w:tmpl w:val="65CE6123"/>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61B673C"/>
    <w:multiLevelType w:val="multilevel"/>
    <w:tmpl w:val="661B673C"/>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88D2683"/>
    <w:multiLevelType w:val="multilevel"/>
    <w:tmpl w:val="688D2683"/>
    <w:lvl w:ilvl="0" w:tentative="0">
      <w:start w:val="1"/>
      <w:numFmt w:val="japaneseCounting"/>
      <w:lvlText w:val="第%1章"/>
      <w:lvlJc w:val="left"/>
      <w:pPr>
        <w:ind w:left="1050" w:hanging="10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
  </w:num>
  <w:num w:numId="2">
    <w:abstractNumId w:val="1"/>
  </w:num>
  <w:num w:numId="3">
    <w:abstractNumId w:val="0"/>
  </w:num>
  <w:num w:numId="4">
    <w:abstractNumId w:val="2"/>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4NjgyNzA2NjgwOWZkMTAzZjkzMWRmZjY2ODUwYTEifQ=="/>
  </w:docVars>
  <w:rsids>
    <w:rsidRoot w:val="0070291F"/>
    <w:rsid w:val="00027AB8"/>
    <w:rsid w:val="0004264B"/>
    <w:rsid w:val="0006715A"/>
    <w:rsid w:val="00071427"/>
    <w:rsid w:val="000809C2"/>
    <w:rsid w:val="00081F21"/>
    <w:rsid w:val="00082390"/>
    <w:rsid w:val="00091C30"/>
    <w:rsid w:val="000949CC"/>
    <w:rsid w:val="000B5182"/>
    <w:rsid w:val="000B6637"/>
    <w:rsid w:val="000C6C05"/>
    <w:rsid w:val="001335BD"/>
    <w:rsid w:val="001420B7"/>
    <w:rsid w:val="00142BAC"/>
    <w:rsid w:val="001739A2"/>
    <w:rsid w:val="001C1CAC"/>
    <w:rsid w:val="001E5154"/>
    <w:rsid w:val="001F3D88"/>
    <w:rsid w:val="00217834"/>
    <w:rsid w:val="00240A60"/>
    <w:rsid w:val="0025092D"/>
    <w:rsid w:val="00272D8F"/>
    <w:rsid w:val="002772BE"/>
    <w:rsid w:val="00285C5D"/>
    <w:rsid w:val="00294C99"/>
    <w:rsid w:val="002A094E"/>
    <w:rsid w:val="002A10A0"/>
    <w:rsid w:val="002A5DCB"/>
    <w:rsid w:val="002C131F"/>
    <w:rsid w:val="002C3DCC"/>
    <w:rsid w:val="002D0238"/>
    <w:rsid w:val="00300268"/>
    <w:rsid w:val="00317795"/>
    <w:rsid w:val="00355E4B"/>
    <w:rsid w:val="003563C8"/>
    <w:rsid w:val="00360487"/>
    <w:rsid w:val="00364923"/>
    <w:rsid w:val="00366CA9"/>
    <w:rsid w:val="00372C5C"/>
    <w:rsid w:val="00376FEB"/>
    <w:rsid w:val="003823B0"/>
    <w:rsid w:val="00411F3B"/>
    <w:rsid w:val="00431D14"/>
    <w:rsid w:val="00451304"/>
    <w:rsid w:val="0047244F"/>
    <w:rsid w:val="00480A32"/>
    <w:rsid w:val="00491FEE"/>
    <w:rsid w:val="004F137C"/>
    <w:rsid w:val="00545B71"/>
    <w:rsid w:val="005603BE"/>
    <w:rsid w:val="00561A4F"/>
    <w:rsid w:val="00564C26"/>
    <w:rsid w:val="00566FF4"/>
    <w:rsid w:val="005717D7"/>
    <w:rsid w:val="005908BC"/>
    <w:rsid w:val="005A63F0"/>
    <w:rsid w:val="005C5498"/>
    <w:rsid w:val="005F29A3"/>
    <w:rsid w:val="005F3DA1"/>
    <w:rsid w:val="005F6BAB"/>
    <w:rsid w:val="0060213A"/>
    <w:rsid w:val="00610531"/>
    <w:rsid w:val="00614232"/>
    <w:rsid w:val="006212B2"/>
    <w:rsid w:val="0062131C"/>
    <w:rsid w:val="00654CAB"/>
    <w:rsid w:val="00672C26"/>
    <w:rsid w:val="00677ACE"/>
    <w:rsid w:val="006875E8"/>
    <w:rsid w:val="006A0672"/>
    <w:rsid w:val="006A41EE"/>
    <w:rsid w:val="006D7A75"/>
    <w:rsid w:val="006F36D4"/>
    <w:rsid w:val="0070291F"/>
    <w:rsid w:val="00757995"/>
    <w:rsid w:val="007674C2"/>
    <w:rsid w:val="007928BD"/>
    <w:rsid w:val="007947ED"/>
    <w:rsid w:val="00794AD4"/>
    <w:rsid w:val="0079659C"/>
    <w:rsid w:val="007C160D"/>
    <w:rsid w:val="007C551A"/>
    <w:rsid w:val="007F5116"/>
    <w:rsid w:val="00842273"/>
    <w:rsid w:val="00855C53"/>
    <w:rsid w:val="0085770A"/>
    <w:rsid w:val="008832CA"/>
    <w:rsid w:val="008874CA"/>
    <w:rsid w:val="008A1937"/>
    <w:rsid w:val="008A5903"/>
    <w:rsid w:val="008C4DE6"/>
    <w:rsid w:val="008D3F27"/>
    <w:rsid w:val="008E1CFD"/>
    <w:rsid w:val="009022B4"/>
    <w:rsid w:val="00915312"/>
    <w:rsid w:val="00920AA9"/>
    <w:rsid w:val="009240F4"/>
    <w:rsid w:val="0094251B"/>
    <w:rsid w:val="00945D1F"/>
    <w:rsid w:val="009474B7"/>
    <w:rsid w:val="00961FA0"/>
    <w:rsid w:val="009A6CA7"/>
    <w:rsid w:val="009B39CA"/>
    <w:rsid w:val="009C15BA"/>
    <w:rsid w:val="009C68A5"/>
    <w:rsid w:val="009E59E7"/>
    <w:rsid w:val="009F0417"/>
    <w:rsid w:val="009F67AE"/>
    <w:rsid w:val="00A32715"/>
    <w:rsid w:val="00A34932"/>
    <w:rsid w:val="00A873B0"/>
    <w:rsid w:val="00A90F73"/>
    <w:rsid w:val="00A921DD"/>
    <w:rsid w:val="00A9786C"/>
    <w:rsid w:val="00AB58D2"/>
    <w:rsid w:val="00AC6794"/>
    <w:rsid w:val="00AE2BBF"/>
    <w:rsid w:val="00AF4321"/>
    <w:rsid w:val="00AF7864"/>
    <w:rsid w:val="00B05E6B"/>
    <w:rsid w:val="00B07870"/>
    <w:rsid w:val="00B07B07"/>
    <w:rsid w:val="00B165F5"/>
    <w:rsid w:val="00B41794"/>
    <w:rsid w:val="00B438A2"/>
    <w:rsid w:val="00B47881"/>
    <w:rsid w:val="00B959CF"/>
    <w:rsid w:val="00BC7310"/>
    <w:rsid w:val="00BD019A"/>
    <w:rsid w:val="00BE1962"/>
    <w:rsid w:val="00C007E2"/>
    <w:rsid w:val="00C01F33"/>
    <w:rsid w:val="00C02803"/>
    <w:rsid w:val="00C2758B"/>
    <w:rsid w:val="00C303BF"/>
    <w:rsid w:val="00C600EC"/>
    <w:rsid w:val="00C65F0B"/>
    <w:rsid w:val="00CA2B1E"/>
    <w:rsid w:val="00CA368F"/>
    <w:rsid w:val="00CB3732"/>
    <w:rsid w:val="00CB7C39"/>
    <w:rsid w:val="00CD056C"/>
    <w:rsid w:val="00CF1F90"/>
    <w:rsid w:val="00D020E9"/>
    <w:rsid w:val="00D124C6"/>
    <w:rsid w:val="00D153A8"/>
    <w:rsid w:val="00D22647"/>
    <w:rsid w:val="00D43EA6"/>
    <w:rsid w:val="00D45A74"/>
    <w:rsid w:val="00D7193C"/>
    <w:rsid w:val="00D77F70"/>
    <w:rsid w:val="00D97735"/>
    <w:rsid w:val="00DB19D3"/>
    <w:rsid w:val="00DC7F73"/>
    <w:rsid w:val="00DD0365"/>
    <w:rsid w:val="00DD5B38"/>
    <w:rsid w:val="00DE4A0A"/>
    <w:rsid w:val="00E25D1C"/>
    <w:rsid w:val="00E4452B"/>
    <w:rsid w:val="00E57B60"/>
    <w:rsid w:val="00E66348"/>
    <w:rsid w:val="00E67367"/>
    <w:rsid w:val="00E7482B"/>
    <w:rsid w:val="00E93324"/>
    <w:rsid w:val="00EA0872"/>
    <w:rsid w:val="00EE1406"/>
    <w:rsid w:val="00EF16FF"/>
    <w:rsid w:val="00EF70E7"/>
    <w:rsid w:val="00F254CA"/>
    <w:rsid w:val="00F26367"/>
    <w:rsid w:val="00F96553"/>
    <w:rsid w:val="00FB7622"/>
    <w:rsid w:val="00FF4076"/>
    <w:rsid w:val="028021E2"/>
    <w:rsid w:val="02BC7B5E"/>
    <w:rsid w:val="035E6DD6"/>
    <w:rsid w:val="04260CC0"/>
    <w:rsid w:val="06BC6527"/>
    <w:rsid w:val="094D6D73"/>
    <w:rsid w:val="0AC967EA"/>
    <w:rsid w:val="0C8678C1"/>
    <w:rsid w:val="0CA17BF4"/>
    <w:rsid w:val="0DD158FD"/>
    <w:rsid w:val="0E4C114A"/>
    <w:rsid w:val="0EE505E5"/>
    <w:rsid w:val="11836E95"/>
    <w:rsid w:val="154C0CC3"/>
    <w:rsid w:val="1677582F"/>
    <w:rsid w:val="19815FCF"/>
    <w:rsid w:val="1A5F6BCF"/>
    <w:rsid w:val="1BC4458A"/>
    <w:rsid w:val="1BDEFAB9"/>
    <w:rsid w:val="1C204226"/>
    <w:rsid w:val="1E25719A"/>
    <w:rsid w:val="21C144FA"/>
    <w:rsid w:val="21FC60F3"/>
    <w:rsid w:val="2ADB05F6"/>
    <w:rsid w:val="2BE3211A"/>
    <w:rsid w:val="2EBF2353"/>
    <w:rsid w:val="2F03C7C0"/>
    <w:rsid w:val="30D53FF2"/>
    <w:rsid w:val="32946EAA"/>
    <w:rsid w:val="37305FF2"/>
    <w:rsid w:val="38341229"/>
    <w:rsid w:val="3B2F02AB"/>
    <w:rsid w:val="3EA70C2A"/>
    <w:rsid w:val="403C046D"/>
    <w:rsid w:val="41941DCE"/>
    <w:rsid w:val="425E0452"/>
    <w:rsid w:val="4291294A"/>
    <w:rsid w:val="435A7F52"/>
    <w:rsid w:val="468F0A5F"/>
    <w:rsid w:val="49E57820"/>
    <w:rsid w:val="4A2F3EE7"/>
    <w:rsid w:val="4ADD3B36"/>
    <w:rsid w:val="4AF60EA8"/>
    <w:rsid w:val="4C442CDD"/>
    <w:rsid w:val="4FBC1A62"/>
    <w:rsid w:val="50CD56DD"/>
    <w:rsid w:val="56DD72B6"/>
    <w:rsid w:val="57B3C027"/>
    <w:rsid w:val="57F52770"/>
    <w:rsid w:val="586562D5"/>
    <w:rsid w:val="59456951"/>
    <w:rsid w:val="5ABD702C"/>
    <w:rsid w:val="5B9CEC54"/>
    <w:rsid w:val="5D1F6BD6"/>
    <w:rsid w:val="5EDF2903"/>
    <w:rsid w:val="5EFEA0B5"/>
    <w:rsid w:val="5FFB78A1"/>
    <w:rsid w:val="604A609D"/>
    <w:rsid w:val="60D603D4"/>
    <w:rsid w:val="60DF1AAA"/>
    <w:rsid w:val="625035C7"/>
    <w:rsid w:val="63FF5D76"/>
    <w:rsid w:val="67EB3E41"/>
    <w:rsid w:val="68D5229E"/>
    <w:rsid w:val="6D8243CD"/>
    <w:rsid w:val="718C74F3"/>
    <w:rsid w:val="76592D83"/>
    <w:rsid w:val="77BFBD0C"/>
    <w:rsid w:val="793F3B2A"/>
    <w:rsid w:val="7BF145B3"/>
    <w:rsid w:val="7CD79B48"/>
    <w:rsid w:val="7DAC3C15"/>
    <w:rsid w:val="7DBB6602"/>
    <w:rsid w:val="7DF2889A"/>
    <w:rsid w:val="7DF30573"/>
    <w:rsid w:val="7E09B616"/>
    <w:rsid w:val="7E5B5A50"/>
    <w:rsid w:val="7FBA06CC"/>
    <w:rsid w:val="7FBD7F52"/>
    <w:rsid w:val="7FDDBA1F"/>
    <w:rsid w:val="7FFBBE3B"/>
    <w:rsid w:val="7FFEE30C"/>
    <w:rsid w:val="B3F7317C"/>
    <w:rsid w:val="BDDC2EA0"/>
    <w:rsid w:val="BFE7D64A"/>
    <w:rsid w:val="CBF9A8EE"/>
    <w:rsid w:val="D9D6CF26"/>
    <w:rsid w:val="DBEDC3FD"/>
    <w:rsid w:val="E59EA2ED"/>
    <w:rsid w:val="F7FF0EEF"/>
    <w:rsid w:val="FDE3216B"/>
    <w:rsid w:val="FEED3EA9"/>
    <w:rsid w:val="FF7ECD24"/>
    <w:rsid w:val="FFF920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9"/>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24"/>
    <w:unhideWhenUsed/>
    <w:qFormat/>
    <w:uiPriority w:val="99"/>
    <w:pPr>
      <w:tabs>
        <w:tab w:val="center" w:pos="4153"/>
        <w:tab w:val="right" w:pos="8306"/>
      </w:tabs>
      <w:snapToGrid w:val="0"/>
      <w:jc w:val="left"/>
    </w:pPr>
    <w:rPr>
      <w:sz w:val="18"/>
      <w:szCs w:val="18"/>
    </w:rPr>
  </w:style>
  <w:style w:type="paragraph" w:styleId="6">
    <w:name w:val="header"/>
    <w:basedOn w:val="1"/>
    <w:link w:val="23"/>
    <w:unhideWhenUsed/>
    <w:qFormat/>
    <w:uiPriority w:val="99"/>
    <w:pPr>
      <w:pBdr>
        <w:bottom w:val="single" w:color="auto" w:sz="6" w:space="1"/>
      </w:pBdr>
      <w:tabs>
        <w:tab w:val="center" w:pos="4153"/>
        <w:tab w:val="right" w:pos="8306"/>
      </w:tabs>
      <w:snapToGrid w:val="0"/>
      <w:jc w:val="left"/>
    </w:pPr>
    <w:rPr>
      <w:sz w:val="18"/>
      <w:szCs w:val="18"/>
    </w:rPr>
  </w:style>
  <w:style w:type="paragraph" w:styleId="7">
    <w:name w:val="toc 1"/>
    <w:basedOn w:val="1"/>
    <w:next w:val="1"/>
    <w:unhideWhenUsed/>
    <w:qFormat/>
    <w:uiPriority w:val="39"/>
    <w:pPr>
      <w:tabs>
        <w:tab w:val="left" w:pos="1050"/>
        <w:tab w:val="right" w:leader="dot" w:pos="8296"/>
      </w:tabs>
      <w:jc w:val="center"/>
    </w:pPr>
    <w:rPr>
      <w:rFonts w:ascii="仿宋_GB2312" w:hAnsi="黑体" w:eastAsia="仿宋_GB2312"/>
      <w:b/>
      <w:sz w:val="44"/>
      <w:szCs w:val="44"/>
    </w:rPr>
  </w:style>
  <w:style w:type="paragraph" w:styleId="8">
    <w:name w:val="toc 2"/>
    <w:basedOn w:val="1"/>
    <w:next w:val="1"/>
    <w:unhideWhenUsed/>
    <w:qFormat/>
    <w:uiPriority w:val="39"/>
    <w:pPr>
      <w:ind w:left="420" w:leftChars="200"/>
    </w:p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0">
    <w:name w:val="annotation subject"/>
    <w:basedOn w:val="3"/>
    <w:next w:val="3"/>
    <w:link w:val="25"/>
    <w:semiHidden/>
    <w:unhideWhenUsed/>
    <w:qFormat/>
    <w:uiPriority w:val="99"/>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22"/>
    <w:rPr>
      <w:b/>
    </w:rPr>
  </w:style>
  <w:style w:type="character" w:styleId="15">
    <w:name w:val="FollowedHyperlink"/>
    <w:basedOn w:val="13"/>
    <w:semiHidden/>
    <w:unhideWhenUsed/>
    <w:qFormat/>
    <w:uiPriority w:val="99"/>
    <w:rPr>
      <w:color w:val="333333"/>
      <w:u w:val="none"/>
    </w:rPr>
  </w:style>
  <w:style w:type="character" w:styleId="16">
    <w:name w:val="Hyperlink"/>
    <w:basedOn w:val="13"/>
    <w:unhideWhenUsed/>
    <w:qFormat/>
    <w:uiPriority w:val="99"/>
    <w:rPr>
      <w:color w:val="0000FF" w:themeColor="hyperlink"/>
      <w:u w:val="single"/>
      <w14:textFill>
        <w14:solidFill>
          <w14:schemeClr w14:val="hlink"/>
        </w14:solidFill>
      </w14:textFill>
    </w:rPr>
  </w:style>
  <w:style w:type="character" w:styleId="17">
    <w:name w:val="annotation reference"/>
    <w:basedOn w:val="13"/>
    <w:semiHidden/>
    <w:unhideWhenUsed/>
    <w:qFormat/>
    <w:uiPriority w:val="99"/>
    <w:rPr>
      <w:sz w:val="21"/>
      <w:szCs w:val="21"/>
    </w:rPr>
  </w:style>
  <w:style w:type="paragraph" w:styleId="18">
    <w:name w:val="List Paragraph"/>
    <w:basedOn w:val="1"/>
    <w:qFormat/>
    <w:uiPriority w:val="34"/>
    <w:pPr>
      <w:ind w:firstLine="420" w:firstLineChars="200"/>
    </w:pPr>
  </w:style>
  <w:style w:type="character" w:customStyle="1" w:styleId="19">
    <w:name w:val="批注文字 字符"/>
    <w:basedOn w:val="13"/>
    <w:link w:val="3"/>
    <w:semiHidden/>
    <w:qFormat/>
    <w:uiPriority w:val="99"/>
  </w:style>
  <w:style w:type="character" w:customStyle="1" w:styleId="20">
    <w:name w:val="批注框文本 字符"/>
    <w:basedOn w:val="13"/>
    <w:link w:val="4"/>
    <w:semiHidden/>
    <w:qFormat/>
    <w:uiPriority w:val="99"/>
    <w:rPr>
      <w:sz w:val="18"/>
      <w:szCs w:val="18"/>
    </w:rPr>
  </w:style>
  <w:style w:type="character" w:customStyle="1" w:styleId="21">
    <w:name w:val="标题 1 字符"/>
    <w:basedOn w:val="13"/>
    <w:link w:val="2"/>
    <w:qFormat/>
    <w:uiPriority w:val="9"/>
    <w:rPr>
      <w:b/>
      <w:bCs/>
      <w:kern w:val="44"/>
      <w:sz w:val="44"/>
      <w:szCs w:val="44"/>
    </w:rPr>
  </w:style>
  <w:style w:type="paragraph" w:customStyle="1" w:styleId="22">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3">
    <w:name w:val="页眉 字符"/>
    <w:basedOn w:val="13"/>
    <w:link w:val="6"/>
    <w:qFormat/>
    <w:uiPriority w:val="99"/>
    <w:rPr>
      <w:sz w:val="18"/>
      <w:szCs w:val="18"/>
    </w:rPr>
  </w:style>
  <w:style w:type="character" w:customStyle="1" w:styleId="24">
    <w:name w:val="页脚 字符"/>
    <w:basedOn w:val="13"/>
    <w:link w:val="5"/>
    <w:qFormat/>
    <w:uiPriority w:val="99"/>
    <w:rPr>
      <w:sz w:val="18"/>
      <w:szCs w:val="18"/>
    </w:rPr>
  </w:style>
  <w:style w:type="character" w:customStyle="1" w:styleId="25">
    <w:name w:val="批注主题 字符"/>
    <w:basedOn w:val="19"/>
    <w:link w:val="10"/>
    <w:semiHidden/>
    <w:qFormat/>
    <w:uiPriority w:val="99"/>
    <w:rPr>
      <w:b/>
      <w:bCs/>
    </w:rPr>
  </w:style>
  <w:style w:type="character" w:styleId="26">
    <w:name w:val="Placeholder Text"/>
    <w:basedOn w:val="13"/>
    <w:semiHidden/>
    <w:qFormat/>
    <w:uiPriority w:val="99"/>
    <w:rPr>
      <w:color w:val="808080"/>
    </w:rPr>
  </w:style>
  <w:style w:type="paragraph" w:customStyle="1" w:styleId="27">
    <w:name w:val="Default"/>
    <w:qFormat/>
    <w:uiPriority w:val="0"/>
    <w:pPr>
      <w:widowControl w:val="0"/>
      <w:autoSpaceDE w:val="0"/>
      <w:autoSpaceDN w:val="0"/>
      <w:adjustRightInd w:val="0"/>
    </w:pPr>
    <w:rPr>
      <w:rFonts w:ascii="Optimum" w:hAnsi="Times New Roman" w:eastAsia="Optimum" w:cs="Times New Roman"/>
      <w:color w:val="000000"/>
      <w:kern w:val="0"/>
      <w:sz w:val="24"/>
      <w:szCs w:val="24"/>
      <w:lang w:val="en-US" w:eastAsia="zh-CN" w:bidi="ar-SA"/>
    </w:rPr>
  </w:style>
  <w:style w:type="paragraph" w:customStyle="1" w:styleId="28">
    <w:name w:val="列出段落1"/>
    <w:basedOn w:val="1"/>
    <w:qFormat/>
    <w:uiPriority w:val="34"/>
    <w:pPr>
      <w:ind w:firstLine="420" w:firstLineChars="200"/>
    </w:pPr>
  </w:style>
  <w:style w:type="character" w:customStyle="1" w:styleId="29">
    <w:name w:val="font11"/>
    <w:basedOn w:val="13"/>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6</Pages>
  <Words>1840</Words>
  <Characters>2033</Characters>
  <Lines>18</Lines>
  <Paragraphs>5</Paragraphs>
  <TotalTime>23</TotalTime>
  <ScaleCrop>false</ScaleCrop>
  <LinksUpToDate>false</LinksUpToDate>
  <CharactersWithSpaces>2048</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2019-11-19T02:19:00Z</dcterms:created>
  <dc:creator>csindex_yuanchen</dc:creator>
  <cp:lastModifiedBy>zyxing</cp:lastModifiedBy>
  <cp:lastPrinted>2026-01-25T17:57:00Z</cp:lastPrinted>
  <dcterms:modified xsi:type="dcterms:W3CDTF">2026-07-02T14:34:12Z</dcterms:modified>
  <cp:revision>153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D2E953705F264CA3A180159B3B655503</vt:lpwstr>
  </property>
  <property fmtid="{D5CDD505-2E9C-101B-9397-08002B2CF9AE}" pid="4" name="KSOTemplateDocerSaveRecord">
    <vt:lpwstr>eyJoZGlkIjoiYTMzNjVhODY1NGNkMzQyYjk1NWViMTEzYTEwNjdhYTIiLCJ1c2VySWQiOiIxNzcwNzQ3MTY2In0=</vt:lpwstr>
  </property>
</Properties>
</file>