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B42A3">
      <w:pPr>
        <w:jc w:val="center"/>
        <w:rPr>
          <w:rFonts w:hint="eastAsia" w:ascii="黑体" w:hAnsi="黑体" w:eastAsia="黑体"/>
          <w:sz w:val="36"/>
          <w:szCs w:val="36"/>
          <w:highlight w:val="none"/>
          <w:lang w:val="en-US" w:eastAsia="zh-CN"/>
        </w:rPr>
      </w:pPr>
    </w:p>
    <w:p w14:paraId="361908B6">
      <w:pPr>
        <w:jc w:val="center"/>
        <w:rPr>
          <w:rFonts w:hint="eastAsia" w:ascii="黑体" w:hAnsi="黑体" w:eastAsia="黑体"/>
          <w:sz w:val="36"/>
          <w:szCs w:val="36"/>
          <w:highlight w:val="none"/>
          <w:lang w:val="en-US" w:eastAsia="zh-CN"/>
        </w:rPr>
      </w:pPr>
    </w:p>
    <w:p w14:paraId="49BA6C07">
      <w:pPr>
        <w:jc w:val="center"/>
        <w:rPr>
          <w:rFonts w:hint="eastAsia" w:ascii="黑体" w:hAnsi="黑体" w:eastAsia="黑体"/>
          <w:sz w:val="36"/>
          <w:szCs w:val="36"/>
          <w:highlight w:val="none"/>
          <w:lang w:val="en-US" w:eastAsia="zh-CN"/>
        </w:rPr>
      </w:pPr>
    </w:p>
    <w:p w14:paraId="5CD19C2C">
      <w:pPr>
        <w:jc w:val="center"/>
        <w:rPr>
          <w:rFonts w:hint="eastAsia" w:ascii="黑体" w:hAnsi="黑体" w:eastAsia="黑体"/>
          <w:sz w:val="36"/>
          <w:szCs w:val="36"/>
          <w:highlight w:val="none"/>
          <w:lang w:val="en-US" w:eastAsia="zh-CN"/>
        </w:rPr>
      </w:pPr>
    </w:p>
    <w:p w14:paraId="2B0DBF61">
      <w:pPr>
        <w:jc w:val="center"/>
        <w:rPr>
          <w:rFonts w:ascii="黑体" w:hAnsi="黑体" w:eastAsia="黑体"/>
          <w:sz w:val="36"/>
          <w:szCs w:val="36"/>
          <w:highlight w:val="none"/>
        </w:rPr>
      </w:pPr>
    </w:p>
    <w:p w14:paraId="4011210B">
      <w:pPr>
        <w:jc w:val="center"/>
        <w:rPr>
          <w:rFonts w:hint="eastAsia" w:ascii="黑体" w:hAnsi="黑体" w:eastAsia="黑体"/>
          <w:b/>
          <w:sz w:val="36"/>
          <w:szCs w:val="36"/>
          <w:highlight w:val="none"/>
          <w:lang w:val="en-US" w:eastAsia="zh-CN"/>
        </w:rPr>
      </w:pPr>
      <w:r>
        <w:rPr>
          <w:rFonts w:hint="eastAsia" w:ascii="黑体" w:hAnsi="黑体" w:eastAsia="黑体"/>
          <w:b/>
          <w:sz w:val="36"/>
          <w:szCs w:val="36"/>
          <w:highlight w:val="none"/>
          <w:lang w:val="en-US" w:eastAsia="zh-CN"/>
        </w:rPr>
        <w:t>中证中小投资者服务中心</w:t>
      </w:r>
    </w:p>
    <w:p w14:paraId="7EEA441D">
      <w:pPr>
        <w:jc w:val="center"/>
        <w:rPr>
          <w:rFonts w:hint="eastAsia" w:ascii="黑体" w:hAnsi="黑体" w:eastAsia="黑体"/>
          <w:b/>
          <w:sz w:val="36"/>
          <w:szCs w:val="36"/>
          <w:highlight w:val="none"/>
          <w:lang w:eastAsia="zh-CN"/>
        </w:rPr>
      </w:pPr>
      <w:r>
        <w:rPr>
          <w:rFonts w:hint="eastAsia" w:ascii="黑体" w:hAnsi="黑体" w:eastAsia="黑体"/>
          <w:b/>
          <w:sz w:val="36"/>
          <w:szCs w:val="36"/>
          <w:highlight w:val="none"/>
          <w:lang w:eastAsia="zh-CN"/>
        </w:rPr>
        <w:t>云资源服务器操作系统采购项目</w:t>
      </w:r>
    </w:p>
    <w:p w14:paraId="6F0F556E">
      <w:pPr>
        <w:jc w:val="center"/>
        <w:rPr>
          <w:rFonts w:ascii="黑体" w:hAnsi="黑体" w:eastAsia="黑体"/>
          <w:b/>
          <w:sz w:val="36"/>
          <w:szCs w:val="36"/>
          <w:highlight w:val="none"/>
        </w:rPr>
      </w:pPr>
      <w:r>
        <w:rPr>
          <w:rFonts w:hint="eastAsia" w:ascii="黑体" w:hAnsi="黑体" w:eastAsia="黑体"/>
          <w:b/>
          <w:sz w:val="36"/>
          <w:szCs w:val="36"/>
          <w:highlight w:val="none"/>
        </w:rPr>
        <w:t>竞争性磋商文件</w:t>
      </w:r>
    </w:p>
    <w:p w14:paraId="5513BE23">
      <w:pPr>
        <w:rPr>
          <w:rFonts w:ascii="黑体" w:hAnsi="黑体" w:eastAsia="黑体"/>
          <w:sz w:val="36"/>
          <w:szCs w:val="36"/>
          <w:highlight w:val="none"/>
        </w:rPr>
      </w:pPr>
    </w:p>
    <w:p w14:paraId="7007FA87">
      <w:pPr>
        <w:jc w:val="center"/>
        <w:rPr>
          <w:rFonts w:hint="eastAsia" w:ascii="黑体" w:hAnsi="黑体" w:eastAsia="黑体"/>
          <w:sz w:val="36"/>
          <w:szCs w:val="36"/>
          <w:highlight w:val="none"/>
          <w:lang w:val="en-US" w:eastAsia="zh-CN"/>
        </w:rPr>
      </w:pPr>
    </w:p>
    <w:p w14:paraId="0DA853E6">
      <w:pPr>
        <w:jc w:val="center"/>
        <w:rPr>
          <w:rFonts w:hint="eastAsia" w:ascii="黑体" w:hAnsi="黑体" w:eastAsia="黑体"/>
          <w:sz w:val="36"/>
          <w:szCs w:val="36"/>
          <w:highlight w:val="none"/>
          <w:lang w:val="en-US" w:eastAsia="zh-CN"/>
        </w:rPr>
      </w:pPr>
    </w:p>
    <w:p w14:paraId="62AA1ACD">
      <w:pPr>
        <w:jc w:val="center"/>
        <w:rPr>
          <w:rFonts w:ascii="黑体" w:hAnsi="黑体" w:eastAsia="黑体"/>
          <w:sz w:val="36"/>
          <w:szCs w:val="36"/>
          <w:highlight w:val="none"/>
        </w:rPr>
      </w:pPr>
    </w:p>
    <w:p w14:paraId="7B225C4E">
      <w:pPr>
        <w:jc w:val="center"/>
        <w:rPr>
          <w:rFonts w:ascii="黑体" w:hAnsi="黑体" w:eastAsia="黑体"/>
          <w:sz w:val="36"/>
          <w:szCs w:val="36"/>
          <w:highlight w:val="none"/>
        </w:rPr>
      </w:pPr>
    </w:p>
    <w:p w14:paraId="32857147">
      <w:pPr>
        <w:jc w:val="center"/>
        <w:rPr>
          <w:rFonts w:hint="eastAsia" w:ascii="仿宋" w:hAnsi="仿宋" w:eastAsia="仿宋" w:cs="仿宋"/>
          <w:sz w:val="28"/>
          <w:szCs w:val="28"/>
          <w:highlight w:val="none"/>
        </w:rPr>
      </w:pPr>
    </w:p>
    <w:p w14:paraId="35F6F260">
      <w:pPr>
        <w:jc w:val="center"/>
        <w:rPr>
          <w:rFonts w:hint="eastAsia" w:ascii="仿宋" w:hAnsi="仿宋" w:eastAsia="仿宋" w:cs="仿宋"/>
          <w:sz w:val="28"/>
          <w:szCs w:val="28"/>
          <w:highlight w:val="none"/>
        </w:rPr>
      </w:pPr>
    </w:p>
    <w:p w14:paraId="386248D5">
      <w:pPr>
        <w:jc w:val="center"/>
        <w:rPr>
          <w:rFonts w:hint="eastAsia" w:ascii="仿宋" w:hAnsi="仿宋" w:eastAsia="仿宋" w:cs="仿宋"/>
          <w:sz w:val="28"/>
          <w:szCs w:val="28"/>
          <w:highlight w:val="none"/>
        </w:rPr>
      </w:pPr>
    </w:p>
    <w:p w14:paraId="47EEBA56">
      <w:pPr>
        <w:jc w:val="center"/>
        <w:rPr>
          <w:rFonts w:hint="eastAsia" w:ascii="仿宋" w:hAnsi="仿宋" w:eastAsia="仿宋" w:cs="仿宋"/>
          <w:sz w:val="28"/>
          <w:szCs w:val="28"/>
          <w:highlight w:val="none"/>
        </w:rPr>
      </w:pPr>
    </w:p>
    <w:p w14:paraId="505A10F9">
      <w:pPr>
        <w:jc w:val="center"/>
        <w:rPr>
          <w:rFonts w:hint="eastAsia" w:ascii="仿宋" w:hAnsi="仿宋" w:eastAsia="仿宋" w:cs="仿宋"/>
          <w:sz w:val="28"/>
          <w:szCs w:val="28"/>
          <w:highlight w:val="none"/>
        </w:rPr>
      </w:pPr>
    </w:p>
    <w:p w14:paraId="68B094F0">
      <w:pPr>
        <w:ind w:left="1124" w:hanging="1124" w:hangingChars="400"/>
        <w:jc w:val="center"/>
        <w:rPr>
          <w:rFonts w:hint="eastAsia" w:ascii="仿宋" w:hAnsi="仿宋" w:eastAsia="仿宋" w:cs="仿宋"/>
          <w:sz w:val="28"/>
          <w:szCs w:val="28"/>
          <w:highlight w:val="none"/>
        </w:rPr>
      </w:pPr>
      <w:r>
        <w:rPr>
          <w:rFonts w:hint="eastAsia" w:ascii="仿宋" w:hAnsi="仿宋" w:eastAsia="仿宋" w:cs="仿宋"/>
          <w:b/>
          <w:sz w:val="28"/>
          <w:szCs w:val="28"/>
          <w:highlight w:val="none"/>
          <w:lang w:eastAsia="zh-CN"/>
        </w:rPr>
        <w:t>中证中小投资者服务中心有限责任公司</w:t>
      </w:r>
    </w:p>
    <w:p w14:paraId="45410F25">
      <w:pPr>
        <w:jc w:val="left"/>
        <w:rPr>
          <w:rFonts w:hint="eastAsia" w:ascii="仿宋" w:hAnsi="仿宋" w:eastAsia="仿宋" w:cs="仿宋"/>
          <w:sz w:val="28"/>
          <w:szCs w:val="28"/>
          <w:highlight w:val="none"/>
        </w:rPr>
      </w:pPr>
    </w:p>
    <w:p w14:paraId="05ECEE08">
      <w:pPr>
        <w:jc w:val="center"/>
        <w:rPr>
          <w:rFonts w:hint="eastAsia" w:ascii="仿宋" w:hAnsi="仿宋" w:eastAsia="仿宋" w:cs="仿宋"/>
          <w:sz w:val="28"/>
          <w:szCs w:val="28"/>
          <w:highlight w:val="none"/>
        </w:rPr>
      </w:pPr>
      <w:r>
        <w:rPr>
          <w:rFonts w:hint="eastAsia" w:ascii="仿宋" w:hAnsi="仿宋" w:eastAsia="仿宋" w:cs="仿宋"/>
          <w:b/>
          <w:sz w:val="28"/>
          <w:szCs w:val="28"/>
          <w:highlight w:val="none"/>
          <w:lang w:val="en-US" w:eastAsia="zh-CN"/>
        </w:rPr>
        <w:t>2026</w:t>
      </w:r>
      <w:r>
        <w:rPr>
          <w:rFonts w:hint="eastAsia" w:ascii="仿宋" w:hAnsi="仿宋" w:eastAsia="仿宋" w:cs="仿宋"/>
          <w:b/>
          <w:sz w:val="28"/>
          <w:szCs w:val="28"/>
          <w:highlight w:val="none"/>
        </w:rPr>
        <w:t>年</w:t>
      </w:r>
      <w:r>
        <w:rPr>
          <w:rFonts w:hint="eastAsia" w:ascii="仿宋" w:hAnsi="仿宋" w:eastAsia="仿宋" w:cs="仿宋"/>
          <w:b/>
          <w:sz w:val="28"/>
          <w:szCs w:val="28"/>
          <w:highlight w:val="none"/>
          <w:lang w:val="en-US" w:eastAsia="zh-CN"/>
        </w:rPr>
        <w:t>9</w:t>
      </w:r>
      <w:r>
        <w:rPr>
          <w:rFonts w:hint="eastAsia" w:ascii="仿宋" w:hAnsi="仿宋" w:eastAsia="仿宋" w:cs="仿宋"/>
          <w:b/>
          <w:sz w:val="28"/>
          <w:szCs w:val="28"/>
          <w:highlight w:val="none"/>
        </w:rPr>
        <w:t>月</w:t>
      </w:r>
      <w:r>
        <w:rPr>
          <w:rFonts w:hint="eastAsia" w:ascii="仿宋" w:hAnsi="仿宋" w:eastAsia="仿宋" w:cs="仿宋"/>
          <w:sz w:val="28"/>
          <w:szCs w:val="28"/>
          <w:highlight w:val="none"/>
        </w:rPr>
        <w:br w:type="page"/>
      </w:r>
    </w:p>
    <w:p w14:paraId="566A00FB">
      <w:pPr>
        <w:pStyle w:val="20"/>
        <w:keepNext w:val="0"/>
        <w:keepLines w:val="0"/>
        <w:pageBreakBefore w:val="0"/>
        <w:widowControl/>
        <w:numPr>
          <w:ilvl w:val="0"/>
          <w:numId w:val="1"/>
        </w:numPr>
        <w:kinsoku/>
        <w:wordWrap/>
        <w:overflowPunct/>
        <w:topLinePunct w:val="0"/>
        <w:autoSpaceDN/>
        <w:bidi w:val="0"/>
        <w:adjustRightInd/>
        <w:snapToGrid/>
        <w:spacing w:line="560" w:lineRule="exact"/>
        <w:ind w:firstLineChars="0"/>
        <w:jc w:val="center"/>
        <w:outlineLvl w:val="0"/>
        <w:rPr>
          <w:rFonts w:hint="eastAsia" w:ascii="黑体" w:hAnsi="黑体" w:eastAsia="黑体" w:cs="黑体"/>
          <w:b/>
          <w:sz w:val="32"/>
          <w:szCs w:val="32"/>
          <w:highlight w:val="none"/>
        </w:rPr>
      </w:pPr>
      <w:bookmarkStart w:id="0" w:name="_Toc11164"/>
      <w:r>
        <w:rPr>
          <w:rFonts w:hint="eastAsia" w:ascii="黑体" w:hAnsi="黑体" w:eastAsia="黑体" w:cs="黑体"/>
          <w:b/>
          <w:sz w:val="32"/>
          <w:szCs w:val="32"/>
          <w:highlight w:val="none"/>
        </w:rPr>
        <w:t>采购邀请</w:t>
      </w:r>
      <w:bookmarkEnd w:id="0"/>
    </w:p>
    <w:p w14:paraId="6E7E1FF2">
      <w:pPr>
        <w:pStyle w:val="20"/>
        <w:keepNext w:val="0"/>
        <w:keepLines w:val="0"/>
        <w:pageBreakBefore w:val="0"/>
        <w:widowControl/>
        <w:numPr>
          <w:ilvl w:val="0"/>
          <w:numId w:val="2"/>
        </w:numPr>
        <w:kinsoku/>
        <w:wordWrap/>
        <w:overflowPunct/>
        <w:topLinePunct w:val="0"/>
        <w:autoSpaceDN/>
        <w:bidi w:val="0"/>
        <w:adjustRightInd/>
        <w:snapToGrid/>
        <w:spacing w:line="560" w:lineRule="exact"/>
        <w:ind w:left="0" w:leftChars="0" w:firstLine="567" w:firstLineChars="0"/>
        <w:outlineLvl w:val="1"/>
        <w:rPr>
          <w:rFonts w:hint="eastAsia" w:ascii="黑体" w:hAnsi="黑体" w:eastAsia="黑体" w:cs="黑体"/>
          <w:b/>
          <w:bCs/>
          <w:sz w:val="32"/>
          <w:szCs w:val="32"/>
          <w:highlight w:val="none"/>
        </w:rPr>
      </w:pPr>
      <w:bookmarkStart w:id="1" w:name="_Toc30017"/>
      <w:r>
        <w:rPr>
          <w:rFonts w:hint="eastAsia" w:ascii="黑体" w:hAnsi="黑体" w:eastAsia="黑体" w:cs="黑体"/>
          <w:b/>
          <w:bCs/>
          <w:sz w:val="32"/>
          <w:szCs w:val="32"/>
          <w:highlight w:val="none"/>
        </w:rPr>
        <w:t>采购方式</w:t>
      </w:r>
      <w:bookmarkEnd w:id="1"/>
    </w:p>
    <w:p w14:paraId="5FC32258">
      <w:pPr>
        <w:pStyle w:val="20"/>
        <w:keepNext w:val="0"/>
        <w:keepLines w:val="0"/>
        <w:pageBreakBefore w:val="0"/>
        <w:widowControl/>
        <w:numPr>
          <w:ilvl w:val="0"/>
          <w:numId w:val="0"/>
        </w:numPr>
        <w:kinsoku/>
        <w:wordWrap/>
        <w:overflowPunct/>
        <w:topLinePunct w:val="0"/>
        <w:autoSpaceDN/>
        <w:bidi w:val="0"/>
        <w:adjustRightInd/>
        <w:snapToGrid/>
        <w:spacing w:line="560" w:lineRule="exact"/>
        <w:ind w:firstLine="560" w:firstLineChars="200"/>
        <w:outlineLvl w:val="1"/>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中证中小投资者服务中心有限责任公司</w:t>
      </w:r>
      <w:r>
        <w:rPr>
          <w:rFonts w:hint="eastAsia" w:ascii="仿宋" w:hAnsi="仿宋" w:eastAsia="仿宋" w:cs="仿宋"/>
          <w:b w:val="0"/>
          <w:bCs/>
          <w:i w:val="0"/>
          <w:caps w:val="0"/>
          <w:spacing w:val="0"/>
          <w:kern w:val="2"/>
          <w:sz w:val="28"/>
          <w:szCs w:val="28"/>
          <w:highlight w:val="none"/>
          <w:shd w:val="clear"/>
          <w:lang w:val="en-US" w:eastAsia="zh-CN" w:bidi="ar"/>
        </w:rPr>
        <w:t>云资源服务器操作系统采购项目</w:t>
      </w:r>
      <w:r>
        <w:rPr>
          <w:rFonts w:hint="eastAsia" w:ascii="仿宋" w:hAnsi="仿宋" w:eastAsia="仿宋" w:cs="仿宋"/>
          <w:sz w:val="28"/>
          <w:szCs w:val="28"/>
          <w:highlight w:val="none"/>
        </w:rPr>
        <w:t>已启动采购程序，现决定以竞争性磋商方式采购，邀请符合条件的供应商参加。</w:t>
      </w:r>
    </w:p>
    <w:p w14:paraId="0D244F34">
      <w:pPr>
        <w:pStyle w:val="20"/>
        <w:keepNext w:val="0"/>
        <w:keepLines w:val="0"/>
        <w:pageBreakBefore w:val="0"/>
        <w:widowControl/>
        <w:numPr>
          <w:ilvl w:val="0"/>
          <w:numId w:val="2"/>
        </w:numPr>
        <w:kinsoku/>
        <w:wordWrap/>
        <w:overflowPunct/>
        <w:topLinePunct w:val="0"/>
        <w:autoSpaceDN/>
        <w:bidi w:val="0"/>
        <w:adjustRightInd/>
        <w:snapToGrid/>
        <w:spacing w:line="560" w:lineRule="exact"/>
        <w:ind w:left="0" w:leftChars="0" w:firstLine="567" w:firstLineChars="0"/>
        <w:outlineLvl w:val="1"/>
        <w:rPr>
          <w:rFonts w:hint="eastAsia" w:ascii="黑体" w:hAnsi="黑体" w:eastAsia="黑体" w:cs="黑体"/>
          <w:b/>
          <w:bCs/>
          <w:sz w:val="32"/>
          <w:szCs w:val="32"/>
          <w:highlight w:val="none"/>
        </w:rPr>
      </w:pPr>
      <w:bookmarkStart w:id="2" w:name="_Toc18627"/>
      <w:r>
        <w:rPr>
          <w:rFonts w:hint="eastAsia" w:ascii="黑体" w:hAnsi="黑体" w:eastAsia="黑体" w:cs="黑体"/>
          <w:b/>
          <w:bCs/>
          <w:sz w:val="32"/>
          <w:szCs w:val="32"/>
          <w:highlight w:val="none"/>
        </w:rPr>
        <w:t>采购项目概况</w:t>
      </w:r>
      <w:bookmarkEnd w:id="2"/>
    </w:p>
    <w:p w14:paraId="590F4F0E">
      <w:pPr>
        <w:pStyle w:val="20"/>
        <w:keepNext w:val="0"/>
        <w:keepLines w:val="0"/>
        <w:pageBreakBefore w:val="0"/>
        <w:widowControl/>
        <w:numPr>
          <w:ilvl w:val="0"/>
          <w:numId w:val="3"/>
        </w:numPr>
        <w:kinsoku/>
        <w:wordWrap/>
        <w:overflowPunct/>
        <w:topLinePunct w:val="0"/>
        <w:autoSpaceDN/>
        <w:bidi w:val="0"/>
        <w:adjustRightInd/>
        <w:snapToGrid/>
        <w:spacing w:line="560" w:lineRule="exact"/>
        <w:ind w:left="0" w:leftChars="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项目名称：</w:t>
      </w:r>
      <w:r>
        <w:rPr>
          <w:rFonts w:hint="eastAsia" w:ascii="仿宋" w:hAnsi="仿宋" w:eastAsia="仿宋" w:cs="仿宋"/>
          <w:sz w:val="28"/>
          <w:szCs w:val="28"/>
          <w:highlight w:val="none"/>
          <w:lang w:eastAsia="zh-CN"/>
        </w:rPr>
        <w:t>云资源服务器操作系统采购</w:t>
      </w:r>
      <w:r>
        <w:rPr>
          <w:rFonts w:hint="eastAsia" w:ascii="仿宋" w:hAnsi="仿宋" w:eastAsia="仿宋" w:cs="仿宋"/>
          <w:b w:val="0"/>
          <w:bCs/>
          <w:i w:val="0"/>
          <w:caps w:val="0"/>
          <w:spacing w:val="0"/>
          <w:kern w:val="2"/>
          <w:sz w:val="28"/>
          <w:szCs w:val="28"/>
          <w:highlight w:val="none"/>
          <w:shd w:val="clear"/>
          <w:lang w:val="en-US" w:eastAsia="zh-CN" w:bidi="ar"/>
        </w:rPr>
        <w:t>项目</w:t>
      </w:r>
    </w:p>
    <w:p w14:paraId="4226D87C">
      <w:pPr>
        <w:keepNext w:val="0"/>
        <w:keepLines w:val="0"/>
        <w:pageBreakBefore w:val="0"/>
        <w:widowControl w:val="0"/>
        <w:numPr>
          <w:ilvl w:val="0"/>
          <w:numId w:val="3"/>
        </w:numPr>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采购内容：麒麟高级服务器操作系统软件授权许可（含3年原厂维保服务）、原厂人天技术支持服务。</w:t>
      </w:r>
    </w:p>
    <w:p w14:paraId="78EC0246">
      <w:pPr>
        <w:keepNext w:val="0"/>
        <w:keepLines w:val="0"/>
        <w:pageBreakBefore w:val="0"/>
        <w:widowControl w:val="0"/>
        <w:numPr>
          <w:ilvl w:val="0"/>
          <w:numId w:val="3"/>
        </w:numPr>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服务期限：三年。</w:t>
      </w:r>
    </w:p>
    <w:p w14:paraId="23416195">
      <w:pPr>
        <w:keepNext w:val="0"/>
        <w:keepLines w:val="0"/>
        <w:pageBreakBefore w:val="0"/>
        <w:widowControl w:val="0"/>
        <w:numPr>
          <w:ilvl w:val="0"/>
          <w:numId w:val="3"/>
        </w:numPr>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采购人：</w:t>
      </w:r>
      <w:bookmarkStart w:id="3" w:name="OLE_LINK4"/>
      <w:r>
        <w:rPr>
          <w:rFonts w:hint="eastAsia" w:ascii="仿宋" w:hAnsi="仿宋" w:eastAsia="仿宋" w:cs="仿宋"/>
          <w:kern w:val="2"/>
          <w:sz w:val="28"/>
          <w:szCs w:val="28"/>
          <w:highlight w:val="none"/>
          <w:lang w:val="en-US" w:eastAsia="zh-CN" w:bidi="ar-SA"/>
        </w:rPr>
        <w:t>中证中小投资者服务中心有限责任公司</w:t>
      </w:r>
      <w:bookmarkEnd w:id="3"/>
    </w:p>
    <w:p w14:paraId="20577E9A">
      <w:pPr>
        <w:keepNext w:val="0"/>
        <w:keepLines w:val="0"/>
        <w:pageBreakBefore w:val="0"/>
        <w:widowControl w:val="0"/>
        <w:numPr>
          <w:ilvl w:val="0"/>
          <w:numId w:val="3"/>
        </w:numPr>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项目预算：55.9万。</w:t>
      </w:r>
    </w:p>
    <w:p w14:paraId="212E62DF">
      <w:pPr>
        <w:pStyle w:val="20"/>
        <w:keepNext w:val="0"/>
        <w:keepLines w:val="0"/>
        <w:pageBreakBefore w:val="0"/>
        <w:widowControl/>
        <w:numPr>
          <w:ilvl w:val="0"/>
          <w:numId w:val="2"/>
        </w:numPr>
        <w:kinsoku/>
        <w:wordWrap/>
        <w:overflowPunct/>
        <w:topLinePunct w:val="0"/>
        <w:autoSpaceDN/>
        <w:bidi w:val="0"/>
        <w:adjustRightInd/>
        <w:snapToGrid/>
        <w:spacing w:line="560" w:lineRule="exact"/>
        <w:ind w:left="0" w:leftChars="0" w:firstLine="567" w:firstLineChars="0"/>
        <w:outlineLvl w:val="1"/>
        <w:rPr>
          <w:rFonts w:hint="eastAsia" w:ascii="黑体" w:hAnsi="黑体" w:eastAsia="黑体" w:cs="黑体"/>
          <w:b/>
          <w:bCs/>
          <w:sz w:val="32"/>
          <w:szCs w:val="32"/>
          <w:highlight w:val="none"/>
        </w:rPr>
      </w:pPr>
      <w:bookmarkStart w:id="4" w:name="_Toc24608"/>
      <w:r>
        <w:rPr>
          <w:rFonts w:hint="eastAsia" w:ascii="黑体" w:hAnsi="黑体" w:eastAsia="黑体" w:cs="黑体"/>
          <w:b/>
          <w:bCs/>
          <w:sz w:val="32"/>
          <w:szCs w:val="32"/>
          <w:highlight w:val="none"/>
        </w:rPr>
        <w:t>时间和地点</w:t>
      </w:r>
      <w:bookmarkEnd w:id="4"/>
    </w:p>
    <w:p w14:paraId="33351A02">
      <w:pPr>
        <w:pStyle w:val="20"/>
        <w:keepNext w:val="0"/>
        <w:keepLines w:val="0"/>
        <w:pageBreakBefore w:val="0"/>
        <w:widowControl/>
        <w:numPr>
          <w:ilvl w:val="0"/>
          <w:numId w:val="4"/>
        </w:numPr>
        <w:kinsoku/>
        <w:wordWrap/>
        <w:overflowPunct/>
        <w:topLinePunct w:val="0"/>
        <w:autoSpaceDN/>
        <w:bidi w:val="0"/>
        <w:adjustRightInd/>
        <w:snapToGrid/>
        <w:spacing w:line="560" w:lineRule="exact"/>
        <w:ind w:left="0" w:leftChars="0" w:firstLine="560" w:firstLineChars="200"/>
        <w:rPr>
          <w:rFonts w:hint="eastAsia" w:ascii="仿宋" w:hAnsi="仿宋" w:eastAsia="仿宋" w:cs="仿宋"/>
          <w:sz w:val="28"/>
          <w:szCs w:val="28"/>
          <w:highlight w:val="none"/>
        </w:rPr>
      </w:pPr>
      <w:r>
        <w:rPr>
          <w:rFonts w:hint="eastAsia" w:ascii="仿宋" w:hAnsi="仿宋" w:eastAsia="仿宋" w:cs="仿宋"/>
          <w:b w:val="0"/>
          <w:bCs w:val="0"/>
          <w:sz w:val="28"/>
          <w:szCs w:val="28"/>
          <w:highlight w:val="none"/>
        </w:rPr>
        <w:t>响应文件</w:t>
      </w:r>
      <w:r>
        <w:rPr>
          <w:rFonts w:hint="eastAsia" w:ascii="仿宋" w:hAnsi="仿宋" w:eastAsia="仿宋" w:cs="仿宋"/>
          <w:b w:val="0"/>
          <w:bCs w:val="0"/>
          <w:sz w:val="28"/>
          <w:szCs w:val="28"/>
          <w:highlight w:val="none"/>
          <w:lang w:eastAsia="zh-CN"/>
        </w:rPr>
        <w:t>提交</w:t>
      </w:r>
      <w:r>
        <w:rPr>
          <w:rFonts w:hint="eastAsia" w:ascii="仿宋" w:hAnsi="仿宋" w:eastAsia="仿宋" w:cs="仿宋"/>
          <w:b w:val="0"/>
          <w:bCs w:val="0"/>
          <w:sz w:val="28"/>
          <w:szCs w:val="28"/>
          <w:highlight w:val="none"/>
        </w:rPr>
        <w:t>截</w:t>
      </w:r>
      <w:r>
        <w:rPr>
          <w:rFonts w:hint="eastAsia" w:ascii="仿宋" w:hAnsi="仿宋" w:eastAsia="仿宋" w:cs="仿宋"/>
          <w:sz w:val="28"/>
          <w:szCs w:val="28"/>
          <w:highlight w:val="none"/>
        </w:rPr>
        <w:t>止时间</w:t>
      </w:r>
      <w:r>
        <w:rPr>
          <w:rFonts w:hint="eastAsia" w:ascii="仿宋" w:hAnsi="仿宋" w:eastAsia="仿宋" w:cs="仿宋"/>
          <w:sz w:val="28"/>
          <w:szCs w:val="28"/>
          <w:highlight w:val="none"/>
          <w:lang w:val="en-US" w:eastAsia="zh-CN"/>
        </w:rPr>
        <w:t>及</w:t>
      </w:r>
      <w:r>
        <w:rPr>
          <w:rFonts w:hint="eastAsia" w:ascii="仿宋" w:hAnsi="仿宋" w:eastAsia="仿宋" w:cs="仿宋"/>
          <w:sz w:val="28"/>
          <w:szCs w:val="28"/>
          <w:highlight w:val="none"/>
        </w:rPr>
        <w:t>竞争性磋商</w:t>
      </w:r>
      <w:r>
        <w:rPr>
          <w:rFonts w:hint="eastAsia" w:ascii="仿宋" w:hAnsi="仿宋" w:eastAsia="仿宋" w:cs="仿宋"/>
          <w:sz w:val="28"/>
          <w:szCs w:val="28"/>
          <w:highlight w:val="none"/>
          <w:lang w:eastAsia="zh-CN"/>
        </w:rPr>
        <w:t>会议</w:t>
      </w:r>
      <w:r>
        <w:rPr>
          <w:rFonts w:hint="eastAsia" w:ascii="仿宋" w:hAnsi="仿宋" w:eastAsia="仿宋" w:cs="仿宋"/>
          <w:sz w:val="28"/>
          <w:szCs w:val="28"/>
          <w:highlight w:val="none"/>
        </w:rPr>
        <w:t>时间</w:t>
      </w:r>
      <w:r>
        <w:rPr>
          <w:rFonts w:hint="eastAsia" w:ascii="仿宋" w:hAnsi="仿宋" w:eastAsia="仿宋" w:cs="仿宋"/>
          <w:sz w:val="28"/>
          <w:szCs w:val="28"/>
          <w:highlight w:val="none"/>
          <w:lang w:val="en-US" w:eastAsia="zh-CN"/>
        </w:rPr>
        <w:t>:</w:t>
      </w:r>
    </w:p>
    <w:p w14:paraId="286486AA">
      <w:pPr>
        <w:pStyle w:val="20"/>
        <w:keepNext w:val="0"/>
        <w:keepLines w:val="0"/>
        <w:pageBreakBefore w:val="0"/>
        <w:widowControl/>
        <w:numPr>
          <w:ilvl w:val="0"/>
          <w:numId w:val="0"/>
        </w:numPr>
        <w:kinsoku/>
        <w:wordWrap/>
        <w:overflowPunct/>
        <w:topLinePunct w:val="0"/>
        <w:autoSpaceDN/>
        <w:bidi w:val="0"/>
        <w:adjustRightInd/>
        <w:snapToGrid/>
        <w:spacing w:line="560" w:lineRule="exact"/>
        <w:ind w:firstLine="1120" w:firstLineChars="4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2026年9月21日14:00</w:t>
      </w:r>
    </w:p>
    <w:p w14:paraId="534FCED2">
      <w:pPr>
        <w:pStyle w:val="20"/>
        <w:keepNext w:val="0"/>
        <w:keepLines w:val="0"/>
        <w:pageBreakBefore w:val="0"/>
        <w:widowControl/>
        <w:numPr>
          <w:ilvl w:val="0"/>
          <w:numId w:val="4"/>
        </w:numPr>
        <w:kinsoku/>
        <w:wordWrap/>
        <w:overflowPunct/>
        <w:topLinePunct w:val="0"/>
        <w:autoSpaceDN/>
        <w:bidi w:val="0"/>
        <w:adjustRightInd/>
        <w:snapToGrid/>
        <w:spacing w:line="560" w:lineRule="exact"/>
        <w:ind w:left="0" w:leftChars="0" w:firstLine="560" w:firstLineChars="200"/>
        <w:rPr>
          <w:rFonts w:hint="eastAsia" w:ascii="仿宋" w:hAnsi="仿宋" w:eastAsia="仿宋" w:cs="仿宋"/>
          <w:sz w:val="28"/>
          <w:szCs w:val="28"/>
          <w:highlight w:val="none"/>
          <w:lang w:val="en-US"/>
        </w:rPr>
      </w:pPr>
      <w:r>
        <w:rPr>
          <w:rFonts w:hint="eastAsia" w:ascii="仿宋" w:hAnsi="仿宋" w:eastAsia="仿宋" w:cs="仿宋"/>
          <w:sz w:val="28"/>
          <w:szCs w:val="28"/>
          <w:highlight w:val="none"/>
        </w:rPr>
        <w:t>竞争性磋商地点：</w:t>
      </w:r>
      <w:r>
        <w:rPr>
          <w:rFonts w:hint="eastAsia" w:ascii="仿宋" w:hAnsi="仿宋" w:eastAsia="仿宋" w:cs="仿宋"/>
          <w:sz w:val="28"/>
          <w:szCs w:val="28"/>
          <w:highlight w:val="none"/>
          <w:lang w:eastAsia="zh-CN"/>
        </w:rPr>
        <w:t>上海市浦东新区杨高南路</w:t>
      </w:r>
      <w:r>
        <w:rPr>
          <w:rFonts w:hint="eastAsia" w:ascii="仿宋" w:hAnsi="仿宋" w:eastAsia="仿宋" w:cs="仿宋"/>
          <w:sz w:val="28"/>
          <w:szCs w:val="28"/>
          <w:highlight w:val="none"/>
          <w:lang w:val="en-US" w:eastAsia="zh-CN"/>
        </w:rPr>
        <w:t>288号14层</w:t>
      </w:r>
    </w:p>
    <w:p w14:paraId="24469F3C">
      <w:pPr>
        <w:pStyle w:val="20"/>
        <w:keepNext w:val="0"/>
        <w:keepLines w:val="0"/>
        <w:pageBreakBefore w:val="0"/>
        <w:widowControl/>
        <w:numPr>
          <w:ilvl w:val="0"/>
          <w:numId w:val="4"/>
        </w:numPr>
        <w:kinsoku/>
        <w:wordWrap/>
        <w:overflowPunct/>
        <w:topLinePunct w:val="0"/>
        <w:autoSpaceDN/>
        <w:bidi w:val="0"/>
        <w:adjustRightInd/>
        <w:snapToGrid/>
        <w:spacing w:line="560" w:lineRule="exact"/>
        <w:ind w:left="0" w:leftChars="0"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备注：</w:t>
      </w:r>
      <w:r>
        <w:rPr>
          <w:rFonts w:hint="eastAsia" w:ascii="仿宋" w:hAnsi="仿宋" w:eastAsia="仿宋" w:cs="仿宋"/>
          <w:b w:val="0"/>
          <w:bCs w:val="0"/>
          <w:sz w:val="28"/>
          <w:szCs w:val="28"/>
          <w:highlight w:val="none"/>
        </w:rPr>
        <w:t>供应商</w:t>
      </w:r>
      <w:r>
        <w:rPr>
          <w:rFonts w:hint="eastAsia" w:ascii="仿宋" w:hAnsi="仿宋" w:eastAsia="仿宋" w:cs="仿宋"/>
          <w:b w:val="0"/>
          <w:bCs w:val="0"/>
          <w:sz w:val="28"/>
          <w:szCs w:val="28"/>
          <w:highlight w:val="none"/>
          <w:lang w:eastAsia="zh-CN"/>
        </w:rPr>
        <w:t>须</w:t>
      </w:r>
      <w:r>
        <w:rPr>
          <w:rFonts w:hint="eastAsia" w:ascii="仿宋" w:hAnsi="仿宋" w:eastAsia="仿宋" w:cs="仿宋"/>
          <w:b w:val="0"/>
          <w:bCs w:val="0"/>
          <w:sz w:val="28"/>
          <w:szCs w:val="28"/>
          <w:highlight w:val="none"/>
        </w:rPr>
        <w:t>于磋商</w:t>
      </w:r>
      <w:r>
        <w:rPr>
          <w:rFonts w:hint="eastAsia" w:ascii="仿宋" w:hAnsi="仿宋" w:eastAsia="仿宋" w:cs="仿宋"/>
          <w:b w:val="0"/>
          <w:bCs w:val="0"/>
          <w:sz w:val="28"/>
          <w:szCs w:val="28"/>
          <w:highlight w:val="none"/>
          <w:lang w:eastAsia="zh-CN"/>
        </w:rPr>
        <w:t>会议</w:t>
      </w:r>
      <w:r>
        <w:rPr>
          <w:rFonts w:hint="eastAsia" w:ascii="仿宋" w:hAnsi="仿宋" w:eastAsia="仿宋" w:cs="仿宋"/>
          <w:b w:val="0"/>
          <w:bCs w:val="0"/>
          <w:sz w:val="28"/>
          <w:szCs w:val="28"/>
          <w:highlight w:val="none"/>
        </w:rPr>
        <w:t>开始前1</w:t>
      </w:r>
      <w:r>
        <w:rPr>
          <w:rFonts w:hint="default" w:ascii="仿宋" w:hAnsi="仿宋" w:eastAsia="仿宋" w:cs="仿宋"/>
          <w:b w:val="0"/>
          <w:bCs w:val="0"/>
          <w:sz w:val="28"/>
          <w:szCs w:val="28"/>
          <w:highlight w:val="none"/>
          <w:lang w:val="en-US"/>
        </w:rPr>
        <w:t>0</w:t>
      </w:r>
      <w:r>
        <w:rPr>
          <w:rFonts w:hint="eastAsia" w:ascii="仿宋" w:hAnsi="仿宋" w:eastAsia="仿宋" w:cs="仿宋"/>
          <w:b w:val="0"/>
          <w:bCs w:val="0"/>
          <w:sz w:val="28"/>
          <w:szCs w:val="28"/>
          <w:highlight w:val="none"/>
        </w:rPr>
        <w:t>分钟到达</w:t>
      </w:r>
      <w:r>
        <w:rPr>
          <w:rFonts w:hint="eastAsia" w:ascii="仿宋" w:hAnsi="仿宋" w:eastAsia="仿宋" w:cs="仿宋"/>
          <w:b w:val="0"/>
          <w:bCs w:val="0"/>
          <w:sz w:val="28"/>
          <w:szCs w:val="28"/>
          <w:highlight w:val="none"/>
          <w:lang w:eastAsia="zh-CN"/>
        </w:rPr>
        <w:t>磋商地点</w:t>
      </w:r>
    </w:p>
    <w:p w14:paraId="4760D280">
      <w:pPr>
        <w:pStyle w:val="20"/>
        <w:keepNext w:val="0"/>
        <w:keepLines w:val="0"/>
        <w:pageBreakBefore w:val="0"/>
        <w:widowControl/>
        <w:numPr>
          <w:ilvl w:val="0"/>
          <w:numId w:val="4"/>
        </w:numPr>
        <w:kinsoku/>
        <w:wordWrap/>
        <w:overflowPunct/>
        <w:topLinePunct w:val="0"/>
        <w:autoSpaceDN/>
        <w:bidi w:val="0"/>
        <w:adjustRightInd/>
        <w:snapToGrid/>
        <w:spacing w:line="560" w:lineRule="exact"/>
        <w:ind w:left="0" w:leftChars="0"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联系人：</w:t>
      </w:r>
      <w:r>
        <w:rPr>
          <w:rFonts w:hint="eastAsia" w:ascii="仿宋" w:hAnsi="仿宋" w:eastAsia="仿宋" w:cs="仿宋"/>
          <w:sz w:val="28"/>
          <w:szCs w:val="28"/>
          <w:highlight w:val="none"/>
          <w:lang w:eastAsia="zh-CN"/>
        </w:rPr>
        <w:t>钮老师</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电话：</w:t>
      </w:r>
      <w:r>
        <w:rPr>
          <w:rFonts w:hint="eastAsia" w:ascii="仿宋" w:hAnsi="仿宋" w:eastAsia="仿宋" w:cs="仿宋"/>
          <w:sz w:val="28"/>
          <w:szCs w:val="28"/>
          <w:highlight w:val="none"/>
          <w:lang w:val="en-US" w:eastAsia="zh-CN"/>
        </w:rPr>
        <w:t>021-51916172邮箱：</w:t>
      </w:r>
      <w:r>
        <w:rPr>
          <w:rFonts w:hint="eastAsia" w:ascii="仿宋" w:hAnsi="仿宋" w:eastAsia="仿宋" w:cs="仿宋"/>
          <w:sz w:val="24"/>
          <w:szCs w:val="24"/>
          <w:highlight w:val="none"/>
          <w:lang w:val="en-US" w:eastAsia="zh-CN"/>
        </w:rPr>
        <w:fldChar w:fldCharType="begin"/>
      </w:r>
      <w:r>
        <w:rPr>
          <w:rFonts w:hint="eastAsia" w:ascii="仿宋" w:hAnsi="仿宋" w:eastAsia="仿宋" w:cs="仿宋"/>
          <w:sz w:val="24"/>
          <w:szCs w:val="24"/>
          <w:highlight w:val="none"/>
          <w:lang w:val="en-US" w:eastAsia="zh-CN"/>
        </w:rPr>
        <w:instrText xml:space="preserve"> HYPERLINK "mailto:xx@isc.com.cn" </w:instrText>
      </w:r>
      <w:r>
        <w:rPr>
          <w:rFonts w:hint="eastAsia" w:ascii="仿宋" w:hAnsi="仿宋" w:eastAsia="仿宋" w:cs="仿宋"/>
          <w:sz w:val="24"/>
          <w:szCs w:val="24"/>
          <w:highlight w:val="none"/>
          <w:lang w:val="en-US" w:eastAsia="zh-CN"/>
        </w:rPr>
        <w:fldChar w:fldCharType="separate"/>
      </w:r>
      <w:r>
        <w:rPr>
          <w:rFonts w:hint="eastAsia" w:ascii="仿宋" w:hAnsi="仿宋" w:eastAsia="仿宋" w:cs="仿宋"/>
          <w:sz w:val="24"/>
          <w:szCs w:val="24"/>
          <w:highlight w:val="none"/>
          <w:lang w:val="en-US" w:eastAsia="zh-CN"/>
        </w:rPr>
        <w:t>yjniu@isc.com.cn</w:t>
      </w:r>
      <w:r>
        <w:rPr>
          <w:rFonts w:hint="eastAsia" w:ascii="仿宋" w:hAnsi="仿宋" w:eastAsia="仿宋" w:cs="仿宋"/>
          <w:sz w:val="24"/>
          <w:szCs w:val="24"/>
          <w:highlight w:val="none"/>
          <w:lang w:val="en-US" w:eastAsia="zh-CN"/>
        </w:rPr>
        <w:fldChar w:fldCharType="end"/>
      </w:r>
    </w:p>
    <w:p w14:paraId="2FF97260">
      <w:pPr>
        <w:pStyle w:val="20"/>
        <w:keepNext w:val="0"/>
        <w:keepLines w:val="0"/>
        <w:pageBreakBefore w:val="0"/>
        <w:widowControl/>
        <w:numPr>
          <w:ilvl w:val="0"/>
          <w:numId w:val="2"/>
        </w:numPr>
        <w:kinsoku/>
        <w:wordWrap/>
        <w:overflowPunct/>
        <w:topLinePunct w:val="0"/>
        <w:autoSpaceDN/>
        <w:bidi w:val="0"/>
        <w:adjustRightInd/>
        <w:snapToGrid/>
        <w:spacing w:line="560" w:lineRule="exact"/>
        <w:ind w:left="0" w:leftChars="0" w:firstLine="567" w:firstLineChars="0"/>
        <w:outlineLvl w:val="1"/>
        <w:rPr>
          <w:rFonts w:hint="eastAsia" w:ascii="黑体" w:hAnsi="黑体" w:eastAsia="黑体" w:cs="黑体"/>
          <w:b/>
          <w:bCs/>
          <w:sz w:val="32"/>
          <w:szCs w:val="32"/>
          <w:highlight w:val="none"/>
        </w:rPr>
      </w:pPr>
      <w:bookmarkStart w:id="5" w:name="_Toc15057"/>
      <w:r>
        <w:rPr>
          <w:rFonts w:hint="eastAsia" w:ascii="黑体" w:hAnsi="黑体" w:eastAsia="黑体" w:cs="黑体"/>
          <w:b/>
          <w:bCs/>
          <w:sz w:val="32"/>
          <w:szCs w:val="32"/>
          <w:highlight w:val="none"/>
        </w:rPr>
        <w:t>其他相关说明</w:t>
      </w:r>
      <w:bookmarkEnd w:id="5"/>
    </w:p>
    <w:p w14:paraId="0FE6E63A">
      <w:pPr>
        <w:pStyle w:val="20"/>
        <w:keepNext w:val="0"/>
        <w:keepLines w:val="0"/>
        <w:pageBreakBefore w:val="0"/>
        <w:widowControl/>
        <w:kinsoku/>
        <w:wordWrap/>
        <w:overflowPunct/>
        <w:topLinePunct w:val="0"/>
        <w:autoSpaceDN/>
        <w:bidi w:val="0"/>
        <w:adjustRightInd/>
        <w:snapToGrid/>
        <w:spacing w:line="56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本次采购活动未尽事宜的解释权属于</w:t>
      </w:r>
      <w:r>
        <w:rPr>
          <w:rFonts w:hint="eastAsia" w:ascii="仿宋" w:hAnsi="仿宋" w:eastAsia="仿宋" w:cs="仿宋"/>
          <w:sz w:val="28"/>
          <w:szCs w:val="28"/>
          <w:highlight w:val="none"/>
          <w:lang w:eastAsia="zh-CN"/>
        </w:rPr>
        <w:t>中证中小投资者服务中心有限责任公司</w:t>
      </w:r>
      <w:r>
        <w:rPr>
          <w:rFonts w:hint="eastAsia" w:ascii="仿宋" w:hAnsi="仿宋" w:eastAsia="仿宋" w:cs="仿宋"/>
          <w:sz w:val="28"/>
          <w:szCs w:val="28"/>
          <w:highlight w:val="none"/>
        </w:rPr>
        <w:t>。</w:t>
      </w:r>
    </w:p>
    <w:p w14:paraId="3C70FE71">
      <w:pPr>
        <w:pStyle w:val="20"/>
        <w:keepNext w:val="0"/>
        <w:keepLines w:val="0"/>
        <w:pageBreakBefore w:val="0"/>
        <w:widowControl/>
        <w:kinsoku/>
        <w:wordWrap/>
        <w:overflowPunct/>
        <w:topLinePunct w:val="0"/>
        <w:autoSpaceDN/>
        <w:bidi w:val="0"/>
        <w:adjustRightInd/>
        <w:snapToGrid/>
        <w:spacing w:line="560" w:lineRule="exact"/>
        <w:ind w:left="420" w:firstLine="0" w:firstLineChars="0"/>
        <w:rPr>
          <w:rFonts w:hint="eastAsia" w:ascii="仿宋" w:hAnsi="仿宋" w:eastAsia="仿宋" w:cs="仿宋"/>
          <w:sz w:val="28"/>
          <w:szCs w:val="28"/>
          <w:highlight w:val="none"/>
        </w:rPr>
      </w:pPr>
    </w:p>
    <w:p w14:paraId="2441C6EA">
      <w:pPr>
        <w:pStyle w:val="20"/>
        <w:keepNext w:val="0"/>
        <w:keepLines w:val="0"/>
        <w:pageBreakBefore w:val="0"/>
        <w:widowControl/>
        <w:kinsoku/>
        <w:wordWrap/>
        <w:overflowPunct/>
        <w:topLinePunct w:val="0"/>
        <w:autoSpaceDN/>
        <w:bidi w:val="0"/>
        <w:adjustRightInd/>
        <w:snapToGrid/>
        <w:spacing w:line="560" w:lineRule="exact"/>
        <w:ind w:left="0" w:leftChars="0" w:firstLine="0" w:firstLineChars="0"/>
        <w:rPr>
          <w:rFonts w:hint="eastAsia" w:ascii="仿宋" w:hAnsi="仿宋" w:eastAsia="仿宋" w:cs="仿宋"/>
          <w:sz w:val="28"/>
          <w:szCs w:val="28"/>
          <w:highlight w:val="none"/>
        </w:rPr>
      </w:pPr>
    </w:p>
    <w:p w14:paraId="4A11C0FA">
      <w:pPr>
        <w:pStyle w:val="20"/>
        <w:keepNext w:val="0"/>
        <w:keepLines w:val="0"/>
        <w:pageBreakBefore w:val="0"/>
        <w:widowControl/>
        <w:numPr>
          <w:ilvl w:val="0"/>
          <w:numId w:val="1"/>
        </w:numPr>
        <w:kinsoku/>
        <w:wordWrap/>
        <w:overflowPunct/>
        <w:topLinePunct w:val="0"/>
        <w:autoSpaceDN/>
        <w:bidi w:val="0"/>
        <w:adjustRightInd/>
        <w:snapToGrid/>
        <w:spacing w:line="560" w:lineRule="exact"/>
        <w:ind w:firstLineChars="0"/>
        <w:jc w:val="center"/>
        <w:outlineLvl w:val="0"/>
        <w:rPr>
          <w:rFonts w:hint="eastAsia" w:ascii="黑体" w:hAnsi="黑体" w:eastAsia="黑体" w:cs="黑体"/>
          <w:b/>
          <w:sz w:val="32"/>
          <w:szCs w:val="32"/>
          <w:highlight w:val="none"/>
        </w:rPr>
      </w:pPr>
      <w:bookmarkStart w:id="6" w:name="_Toc1303"/>
      <w:r>
        <w:rPr>
          <w:rFonts w:hint="eastAsia" w:ascii="黑体" w:hAnsi="黑体" w:eastAsia="黑体" w:cs="黑体"/>
          <w:b/>
          <w:sz w:val="32"/>
          <w:szCs w:val="32"/>
          <w:highlight w:val="none"/>
        </w:rPr>
        <w:t>采购内容及要求</w:t>
      </w:r>
      <w:bookmarkEnd w:id="6"/>
    </w:p>
    <w:p w14:paraId="2460A92C">
      <w:pPr>
        <w:pStyle w:val="20"/>
        <w:keepNext w:val="0"/>
        <w:keepLines w:val="0"/>
        <w:pageBreakBefore w:val="0"/>
        <w:widowControl/>
        <w:numPr>
          <w:ilvl w:val="0"/>
          <w:numId w:val="5"/>
        </w:numPr>
        <w:kinsoku/>
        <w:wordWrap/>
        <w:overflowPunct/>
        <w:topLinePunct w:val="0"/>
        <w:autoSpaceDN/>
        <w:bidi w:val="0"/>
        <w:adjustRightInd/>
        <w:snapToGrid/>
        <w:spacing w:line="560" w:lineRule="exact"/>
        <w:ind w:left="0" w:leftChars="0" w:firstLine="420" w:firstLineChars="0"/>
        <w:outlineLvl w:val="1"/>
        <w:rPr>
          <w:rFonts w:hint="eastAsia" w:ascii="黑体" w:hAnsi="黑体" w:eastAsia="黑体" w:cs="黑体"/>
          <w:b/>
          <w:bCs/>
          <w:sz w:val="32"/>
          <w:szCs w:val="32"/>
          <w:highlight w:val="none"/>
        </w:rPr>
      </w:pPr>
      <w:r>
        <w:rPr>
          <w:rFonts w:hint="eastAsia" w:ascii="黑体" w:hAnsi="黑体" w:eastAsia="黑体" w:cs="黑体"/>
          <w:b/>
          <w:bCs/>
          <w:sz w:val="32"/>
          <w:szCs w:val="32"/>
          <w:highlight w:val="none"/>
          <w:lang w:eastAsia="zh-CN"/>
        </w:rPr>
        <w:t>采购内容</w:t>
      </w:r>
    </w:p>
    <w:p w14:paraId="72BCF52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right="0" w:firstLine="560" w:firstLineChars="200"/>
        <w:jc w:val="both"/>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采购</w:t>
      </w:r>
      <w:r>
        <w:rPr>
          <w:rFonts w:hint="eastAsia" w:ascii="仿宋" w:hAnsi="仿宋" w:eastAsia="仿宋" w:cs="仿宋"/>
          <w:sz w:val="28"/>
          <w:szCs w:val="28"/>
          <w:highlight w:val="none"/>
          <w:lang w:eastAsia="zh-CN"/>
        </w:rPr>
        <w:t>内容见下表：</w:t>
      </w:r>
    </w:p>
    <w:tbl>
      <w:tblPr>
        <w:tblStyle w:val="13"/>
        <w:tblW w:w="847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64"/>
        <w:gridCol w:w="873"/>
        <w:gridCol w:w="1759"/>
        <w:gridCol w:w="910"/>
        <w:gridCol w:w="1094"/>
        <w:gridCol w:w="1048"/>
        <w:gridCol w:w="1063"/>
        <w:gridCol w:w="1063"/>
      </w:tblGrid>
      <w:tr w14:paraId="1A85D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9" w:hRule="atLeast"/>
          <w:jc w:val="center"/>
        </w:trPr>
        <w:tc>
          <w:tcPr>
            <w:tcW w:w="664" w:type="dxa"/>
            <w:tcBorders>
              <w:top w:val="single" w:color="000000" w:sz="8" w:space="0"/>
              <w:left w:val="single" w:color="000000" w:sz="8"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37CABACC">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kern w:val="0"/>
                <w:sz w:val="21"/>
                <w:szCs w:val="21"/>
                <w:highlight w:val="none"/>
                <w:u w:val="none"/>
                <w:lang w:val="en-US" w:eastAsia="zh-CN" w:bidi="ar"/>
              </w:rPr>
            </w:pPr>
            <w:r>
              <w:rPr>
                <w:rFonts w:hint="eastAsia" w:ascii="仿宋" w:hAnsi="仿宋" w:eastAsia="仿宋" w:cs="仿宋"/>
                <w:b/>
                <w:bCs/>
                <w:i w:val="0"/>
                <w:color w:val="auto"/>
                <w:kern w:val="0"/>
                <w:sz w:val="21"/>
                <w:szCs w:val="21"/>
                <w:highlight w:val="none"/>
                <w:u w:val="none"/>
                <w:lang w:val="en-US" w:eastAsia="zh-CN" w:bidi="ar"/>
              </w:rPr>
              <w:t>序号</w:t>
            </w:r>
          </w:p>
        </w:tc>
        <w:tc>
          <w:tcPr>
            <w:tcW w:w="873" w:type="dxa"/>
            <w:tcBorders>
              <w:top w:val="single" w:color="000000" w:sz="8" w:space="0"/>
              <w:left w:val="single" w:color="000000" w:sz="8"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4656662D">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品牌</w:t>
            </w:r>
          </w:p>
        </w:tc>
        <w:tc>
          <w:tcPr>
            <w:tcW w:w="1759"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3CDAD65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kern w:val="0"/>
                <w:sz w:val="21"/>
                <w:szCs w:val="21"/>
                <w:highlight w:val="none"/>
                <w:u w:val="none"/>
                <w:lang w:val="en-US" w:eastAsia="zh-CN" w:bidi="ar"/>
              </w:rPr>
            </w:pPr>
            <w:r>
              <w:rPr>
                <w:rFonts w:hint="eastAsia" w:ascii="仿宋" w:hAnsi="仿宋" w:eastAsia="仿宋" w:cs="仿宋"/>
                <w:b/>
                <w:bCs/>
                <w:i w:val="0"/>
                <w:color w:val="auto"/>
                <w:sz w:val="21"/>
                <w:szCs w:val="21"/>
                <w:highlight w:val="none"/>
                <w:u w:val="none"/>
                <w:lang w:eastAsia="zh-CN"/>
              </w:rPr>
              <w:t>类型</w:t>
            </w:r>
          </w:p>
        </w:tc>
        <w:tc>
          <w:tcPr>
            <w:tcW w:w="910"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3C064DB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rPr>
            </w:pPr>
            <w:r>
              <w:rPr>
                <w:rFonts w:hint="eastAsia" w:ascii="仿宋" w:hAnsi="仿宋" w:eastAsia="仿宋" w:cs="仿宋"/>
                <w:b/>
                <w:bCs/>
                <w:i w:val="0"/>
                <w:color w:val="auto"/>
                <w:kern w:val="0"/>
                <w:sz w:val="21"/>
                <w:szCs w:val="21"/>
                <w:highlight w:val="none"/>
                <w:u w:val="none"/>
                <w:lang w:val="en-US" w:eastAsia="zh-CN" w:bidi="ar"/>
              </w:rPr>
              <w:t>型号</w:t>
            </w:r>
          </w:p>
        </w:tc>
        <w:tc>
          <w:tcPr>
            <w:tcW w:w="1094"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692A1E06">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rPr>
            </w:pPr>
            <w:r>
              <w:rPr>
                <w:rFonts w:hint="eastAsia" w:ascii="仿宋" w:hAnsi="仿宋" w:eastAsia="仿宋" w:cs="仿宋"/>
                <w:b/>
                <w:bCs/>
                <w:i w:val="0"/>
                <w:color w:val="auto"/>
                <w:kern w:val="0"/>
                <w:sz w:val="21"/>
                <w:szCs w:val="21"/>
                <w:highlight w:val="none"/>
                <w:u w:val="none"/>
                <w:lang w:val="en-US" w:eastAsia="zh-CN" w:bidi="ar"/>
              </w:rPr>
              <w:t>数量</w:t>
            </w:r>
          </w:p>
        </w:tc>
        <w:tc>
          <w:tcPr>
            <w:tcW w:w="1048"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61F6219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维保服务</w:t>
            </w:r>
          </w:p>
          <w:p w14:paraId="77949F26">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采购年限和服务级别</w:t>
            </w:r>
          </w:p>
        </w:tc>
        <w:tc>
          <w:tcPr>
            <w:tcW w:w="1063"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4846C2B1">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维保服务类型</w:t>
            </w:r>
          </w:p>
        </w:tc>
        <w:tc>
          <w:tcPr>
            <w:tcW w:w="1063"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34C1C5B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备注</w:t>
            </w:r>
          </w:p>
        </w:tc>
      </w:tr>
      <w:tr w14:paraId="1FB56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trPr>
        <w:tc>
          <w:tcPr>
            <w:tcW w:w="664" w:type="dxa"/>
            <w:tcBorders>
              <w:top w:val="single" w:color="000000" w:sz="8"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5314564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1</w:t>
            </w:r>
          </w:p>
        </w:tc>
        <w:tc>
          <w:tcPr>
            <w:tcW w:w="873" w:type="dxa"/>
            <w:tcBorders>
              <w:top w:val="single" w:color="000000" w:sz="8"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61DF851D">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eastAsia="zh-CN"/>
              </w:rPr>
            </w:pPr>
            <w:r>
              <w:rPr>
                <w:rFonts w:hint="eastAsia" w:ascii="仿宋" w:hAnsi="仿宋" w:eastAsia="仿宋" w:cs="仿宋"/>
                <w:i w:val="0"/>
                <w:color w:val="auto"/>
                <w:sz w:val="21"/>
                <w:szCs w:val="21"/>
                <w:highlight w:val="none"/>
                <w:u w:val="none"/>
                <w:lang w:eastAsia="zh-CN"/>
              </w:rPr>
              <w:t>银河</w:t>
            </w:r>
          </w:p>
          <w:p w14:paraId="126FEB3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eastAsia="zh-CN"/>
              </w:rPr>
            </w:pPr>
            <w:r>
              <w:rPr>
                <w:rFonts w:hint="eastAsia" w:ascii="仿宋" w:hAnsi="仿宋" w:eastAsia="仿宋" w:cs="仿宋"/>
                <w:i w:val="0"/>
                <w:color w:val="auto"/>
                <w:sz w:val="21"/>
                <w:szCs w:val="21"/>
                <w:highlight w:val="none"/>
                <w:u w:val="none"/>
                <w:lang w:eastAsia="zh-CN"/>
              </w:rPr>
              <w:t>麒麟</w:t>
            </w:r>
          </w:p>
        </w:tc>
        <w:tc>
          <w:tcPr>
            <w:tcW w:w="1759"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55D5745C">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服务器操作系统</w:t>
            </w:r>
          </w:p>
          <w:p w14:paraId="585A884C">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sz w:val="21"/>
                <w:szCs w:val="21"/>
                <w:highlight w:val="none"/>
                <w:u w:val="none"/>
                <w:lang w:val="en-US" w:eastAsia="zh-CN"/>
              </w:rPr>
              <w:t>软件许可</w:t>
            </w:r>
          </w:p>
        </w:tc>
        <w:tc>
          <w:tcPr>
            <w:tcW w:w="910"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2BCE3EC9">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kern w:val="0"/>
                <w:sz w:val="21"/>
                <w:szCs w:val="21"/>
                <w:highlight w:val="none"/>
                <w:u w:val="none"/>
                <w:lang w:val="en-US" w:eastAsia="zh-CN" w:bidi="ar"/>
              </w:rPr>
              <w:t>V10</w:t>
            </w:r>
          </w:p>
        </w:tc>
        <w:tc>
          <w:tcPr>
            <w:tcW w:w="1094"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63B985C6">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58套</w:t>
            </w:r>
          </w:p>
        </w:tc>
        <w:tc>
          <w:tcPr>
            <w:tcW w:w="1048"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469FDF9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三年</w:t>
            </w:r>
          </w:p>
          <w:p w14:paraId="3E3B4ABB">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7*24小时</w:t>
            </w:r>
          </w:p>
        </w:tc>
        <w:tc>
          <w:tcPr>
            <w:tcW w:w="1063"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1356987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官方原厂</w:t>
            </w:r>
          </w:p>
        </w:tc>
        <w:tc>
          <w:tcPr>
            <w:tcW w:w="1063"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5C29E4B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永久授权</w:t>
            </w:r>
          </w:p>
        </w:tc>
      </w:tr>
      <w:tr w14:paraId="10735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trPr>
        <w:tc>
          <w:tcPr>
            <w:tcW w:w="664" w:type="dxa"/>
            <w:tcBorders>
              <w:top w:val="single" w:color="000000" w:sz="4"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76172C2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2</w:t>
            </w:r>
          </w:p>
        </w:tc>
        <w:tc>
          <w:tcPr>
            <w:tcW w:w="873" w:type="dxa"/>
            <w:tcBorders>
              <w:top w:val="single" w:color="000000" w:sz="4"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6825F4E7">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银河</w:t>
            </w:r>
          </w:p>
          <w:p w14:paraId="28BA10FE">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麒麟</w:t>
            </w:r>
          </w:p>
        </w:tc>
        <w:tc>
          <w:tcPr>
            <w:tcW w:w="1759"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2E0A4692">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服务器操作系统</w:t>
            </w:r>
          </w:p>
          <w:p w14:paraId="43F1B1BE">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软件许可</w:t>
            </w:r>
          </w:p>
        </w:tc>
        <w:tc>
          <w:tcPr>
            <w:tcW w:w="910"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4C9313ED">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kern w:val="0"/>
                <w:sz w:val="21"/>
                <w:szCs w:val="21"/>
                <w:highlight w:val="none"/>
                <w:u w:val="none"/>
                <w:lang w:val="en-US" w:eastAsia="zh-CN" w:bidi="ar"/>
              </w:rPr>
              <w:t>V11</w:t>
            </w:r>
          </w:p>
        </w:tc>
        <w:tc>
          <w:tcPr>
            <w:tcW w:w="1094"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2762E743">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10套</w:t>
            </w:r>
          </w:p>
        </w:tc>
        <w:tc>
          <w:tcPr>
            <w:tcW w:w="1048"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67F5267B">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三年</w:t>
            </w:r>
          </w:p>
          <w:p w14:paraId="7A752D4E">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7*24小时</w:t>
            </w:r>
          </w:p>
        </w:tc>
        <w:tc>
          <w:tcPr>
            <w:tcW w:w="1063"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7ABC643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官方原厂</w:t>
            </w:r>
          </w:p>
        </w:tc>
        <w:tc>
          <w:tcPr>
            <w:tcW w:w="1063"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6B1BD3D9">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永久授权</w:t>
            </w:r>
          </w:p>
        </w:tc>
      </w:tr>
      <w:tr w14:paraId="569A7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1" w:hRule="atLeast"/>
          <w:jc w:val="center"/>
        </w:trPr>
        <w:tc>
          <w:tcPr>
            <w:tcW w:w="664" w:type="dxa"/>
            <w:tcBorders>
              <w:tl2br w:val="nil"/>
              <w:tr2bl w:val="nil"/>
            </w:tcBorders>
            <w:noWrap/>
            <w:tcMar>
              <w:top w:w="15" w:type="dxa"/>
              <w:left w:w="15" w:type="dxa"/>
              <w:right w:w="15" w:type="dxa"/>
            </w:tcMar>
            <w:vAlign w:val="center"/>
          </w:tcPr>
          <w:p w14:paraId="79E6B295">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3</w:t>
            </w:r>
          </w:p>
        </w:tc>
        <w:tc>
          <w:tcPr>
            <w:tcW w:w="873" w:type="dxa"/>
            <w:tcBorders>
              <w:tl2br w:val="nil"/>
              <w:tr2bl w:val="nil"/>
            </w:tcBorders>
            <w:noWrap/>
            <w:tcMar>
              <w:top w:w="15" w:type="dxa"/>
              <w:left w:w="15" w:type="dxa"/>
              <w:right w:w="15" w:type="dxa"/>
            </w:tcMar>
            <w:vAlign w:val="center"/>
          </w:tcPr>
          <w:p w14:paraId="2D9F56C1">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2"/>
                <w:sz w:val="21"/>
                <w:szCs w:val="21"/>
                <w:highlight w:val="none"/>
                <w:u w:val="none"/>
                <w:lang w:val="en-US" w:eastAsia="zh-CN" w:bidi="ar-SA"/>
              </w:rPr>
            </w:pPr>
          </w:p>
        </w:tc>
        <w:tc>
          <w:tcPr>
            <w:tcW w:w="1759" w:type="dxa"/>
            <w:tcBorders>
              <w:tl2br w:val="nil"/>
              <w:tr2bl w:val="nil"/>
            </w:tcBorders>
            <w:noWrap/>
            <w:tcMar>
              <w:top w:w="15" w:type="dxa"/>
              <w:left w:w="15" w:type="dxa"/>
              <w:right w:w="15" w:type="dxa"/>
            </w:tcMar>
            <w:vAlign w:val="center"/>
          </w:tcPr>
          <w:p w14:paraId="2D9392A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人天技术支持服务</w:t>
            </w:r>
          </w:p>
        </w:tc>
        <w:tc>
          <w:tcPr>
            <w:tcW w:w="910" w:type="dxa"/>
            <w:tcBorders>
              <w:tl2br w:val="nil"/>
              <w:tr2bl w:val="nil"/>
            </w:tcBorders>
            <w:noWrap/>
            <w:tcMar>
              <w:top w:w="15" w:type="dxa"/>
              <w:left w:w="15" w:type="dxa"/>
              <w:right w:w="15" w:type="dxa"/>
            </w:tcMar>
            <w:vAlign w:val="center"/>
          </w:tcPr>
          <w:p w14:paraId="22430981">
            <w:pPr>
              <w:keepNext w:val="0"/>
              <w:keepLines w:val="0"/>
              <w:pageBreakBefore w:val="0"/>
              <w:kinsoku/>
              <w:wordWrap/>
              <w:overflowPunct/>
              <w:topLinePunct w:val="0"/>
              <w:autoSpaceDN/>
              <w:bidi w:val="0"/>
              <w:adjustRightInd/>
              <w:snapToGrid/>
              <w:spacing w:line="240" w:lineRule="auto"/>
              <w:jc w:val="center"/>
              <w:rPr>
                <w:rFonts w:hint="eastAsia" w:ascii="仿宋" w:hAnsi="仿宋" w:eastAsia="仿宋" w:cs="仿宋"/>
                <w:i w:val="0"/>
                <w:color w:val="auto"/>
                <w:kern w:val="2"/>
                <w:sz w:val="21"/>
                <w:szCs w:val="21"/>
                <w:highlight w:val="none"/>
                <w:u w:val="none"/>
                <w:lang w:val="en-US" w:eastAsia="zh-CN" w:bidi="ar-SA"/>
              </w:rPr>
            </w:pPr>
          </w:p>
        </w:tc>
        <w:tc>
          <w:tcPr>
            <w:tcW w:w="1094" w:type="dxa"/>
            <w:tcBorders>
              <w:tl2br w:val="nil"/>
              <w:tr2bl w:val="nil"/>
            </w:tcBorders>
            <w:noWrap/>
            <w:tcMar>
              <w:top w:w="15" w:type="dxa"/>
              <w:left w:w="15" w:type="dxa"/>
              <w:right w:w="15" w:type="dxa"/>
            </w:tcMar>
            <w:vAlign w:val="center"/>
          </w:tcPr>
          <w:p w14:paraId="744B301C">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不超5人天</w:t>
            </w:r>
          </w:p>
        </w:tc>
        <w:tc>
          <w:tcPr>
            <w:tcW w:w="1048" w:type="dxa"/>
            <w:tcBorders>
              <w:tl2br w:val="nil"/>
              <w:tr2bl w:val="nil"/>
            </w:tcBorders>
            <w:noWrap/>
            <w:tcMar>
              <w:top w:w="15" w:type="dxa"/>
              <w:left w:w="15" w:type="dxa"/>
              <w:right w:w="15" w:type="dxa"/>
            </w:tcMar>
            <w:vAlign w:val="center"/>
          </w:tcPr>
          <w:p w14:paraId="235FFA07">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三年</w:t>
            </w:r>
          </w:p>
        </w:tc>
        <w:tc>
          <w:tcPr>
            <w:tcW w:w="1063" w:type="dxa"/>
            <w:tcBorders>
              <w:tl2br w:val="nil"/>
              <w:tr2bl w:val="nil"/>
            </w:tcBorders>
            <w:noWrap/>
            <w:tcMar>
              <w:top w:w="15" w:type="dxa"/>
              <w:left w:w="15" w:type="dxa"/>
              <w:right w:w="15" w:type="dxa"/>
            </w:tcMar>
            <w:vAlign w:val="center"/>
          </w:tcPr>
          <w:p w14:paraId="2F2DDC5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官方原厂</w:t>
            </w:r>
          </w:p>
        </w:tc>
        <w:tc>
          <w:tcPr>
            <w:tcW w:w="1063" w:type="dxa"/>
            <w:tcBorders>
              <w:tl2br w:val="nil"/>
              <w:tr2bl w:val="nil"/>
            </w:tcBorders>
            <w:noWrap/>
            <w:tcMar>
              <w:top w:w="15" w:type="dxa"/>
              <w:left w:w="15" w:type="dxa"/>
              <w:right w:w="15" w:type="dxa"/>
            </w:tcMar>
            <w:vAlign w:val="center"/>
          </w:tcPr>
          <w:p w14:paraId="6951D09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据实结算</w:t>
            </w:r>
          </w:p>
        </w:tc>
      </w:tr>
    </w:tbl>
    <w:p w14:paraId="6C416062">
      <w:pPr>
        <w:pStyle w:val="20"/>
        <w:keepNext w:val="0"/>
        <w:keepLines w:val="0"/>
        <w:pageBreakBefore w:val="0"/>
        <w:widowControl/>
        <w:numPr>
          <w:ilvl w:val="0"/>
          <w:numId w:val="5"/>
        </w:numPr>
        <w:kinsoku/>
        <w:wordWrap/>
        <w:overflowPunct/>
        <w:topLinePunct w:val="0"/>
        <w:autoSpaceDN/>
        <w:bidi w:val="0"/>
        <w:adjustRightInd/>
        <w:snapToGrid/>
        <w:spacing w:line="560" w:lineRule="exact"/>
        <w:ind w:left="0" w:leftChars="0" w:firstLine="420" w:firstLineChars="0"/>
        <w:outlineLvl w:val="1"/>
        <w:rPr>
          <w:rFonts w:hint="eastAsia" w:ascii="黑体" w:hAnsi="黑体" w:eastAsia="黑体" w:cs="黑体"/>
          <w:b/>
          <w:bCs/>
          <w:sz w:val="32"/>
          <w:szCs w:val="32"/>
          <w:highlight w:val="none"/>
          <w:lang w:eastAsia="zh-CN"/>
        </w:rPr>
      </w:pPr>
      <w:r>
        <w:rPr>
          <w:rFonts w:hint="eastAsia" w:ascii="黑体" w:hAnsi="黑体" w:eastAsia="黑体" w:cs="黑体"/>
          <w:b/>
          <w:bCs/>
          <w:sz w:val="32"/>
          <w:szCs w:val="32"/>
          <w:highlight w:val="none"/>
          <w:lang w:eastAsia="zh-CN"/>
        </w:rPr>
        <w:t>采购要求</w:t>
      </w:r>
    </w:p>
    <w:p w14:paraId="77ED20E7">
      <w:pPr>
        <w:keepNext w:val="0"/>
        <w:keepLines w:val="0"/>
        <w:pageBreakBefore w:val="0"/>
        <w:kinsoku/>
        <w:wordWrap/>
        <w:overflowPunct/>
        <w:topLinePunct w:val="0"/>
        <w:autoSpaceDE w:val="0"/>
        <w:autoSpaceDN/>
        <w:bidi w:val="0"/>
        <w:adjustRightInd/>
        <w:snapToGrid/>
        <w:spacing w:line="560" w:lineRule="exact"/>
        <w:ind w:firstLine="562" w:firstLineChars="200"/>
        <w:rPr>
          <w:rFonts w:hint="eastAsia" w:ascii="仿宋" w:hAnsi="仿宋" w:eastAsia="仿宋" w:cs="仿宋"/>
          <w:b/>
          <w:bCs w:val="0"/>
          <w:color w:val="FF0000"/>
          <w:sz w:val="28"/>
          <w:szCs w:val="28"/>
          <w:lang w:val="en-US" w:eastAsia="zh-CN" w:bidi="ar"/>
        </w:rPr>
      </w:pPr>
      <w:r>
        <w:rPr>
          <w:rFonts w:hint="eastAsia" w:ascii="仿宋" w:hAnsi="仿宋" w:eastAsia="仿宋" w:cs="仿宋"/>
          <w:b/>
          <w:bCs w:val="0"/>
          <w:sz w:val="28"/>
          <w:szCs w:val="28"/>
          <w:lang w:val="en-US" w:eastAsia="zh-CN" w:bidi="ar"/>
        </w:rPr>
        <w:t>（一）技术要求</w:t>
      </w:r>
    </w:p>
    <w:p w14:paraId="7C275F84">
      <w:pPr>
        <w:keepNext w:val="0"/>
        <w:keepLines w:val="0"/>
        <w:pageBreakBefore w:val="0"/>
        <w:kinsoku/>
        <w:wordWrap/>
        <w:overflowPunct/>
        <w:topLinePunct w:val="0"/>
        <w:autoSpaceDN/>
        <w:bidi w:val="0"/>
        <w:adjustRightInd/>
        <w:snapToGrid/>
        <w:spacing w:line="560" w:lineRule="exact"/>
        <w:ind w:firstLine="562" w:firstLineChars="200"/>
        <w:rPr>
          <w:rFonts w:hint="default" w:ascii="仿宋" w:hAnsi="仿宋" w:eastAsia="仿宋"/>
          <w:b/>
          <w:bCs/>
          <w:sz w:val="28"/>
          <w:szCs w:val="28"/>
          <w:lang w:val="en-US" w:eastAsia="zh-CN"/>
        </w:rPr>
      </w:pPr>
      <w:r>
        <w:rPr>
          <w:rFonts w:hint="eastAsia" w:ascii="仿宋" w:hAnsi="仿宋" w:eastAsia="仿宋"/>
          <w:b/>
          <w:bCs/>
          <w:sz w:val="28"/>
          <w:szCs w:val="28"/>
          <w:lang w:val="en-US" w:eastAsia="zh-CN"/>
        </w:rPr>
        <w:t>1.技术参数要求</w:t>
      </w:r>
    </w:p>
    <w:tbl>
      <w:tblPr>
        <w:tblStyle w:val="13"/>
        <w:tblW w:w="86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5"/>
        <w:gridCol w:w="1540"/>
        <w:gridCol w:w="5774"/>
      </w:tblGrid>
      <w:tr w14:paraId="77B3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863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0CB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lang w:val="en-US" w:eastAsia="zh-CN"/>
              </w:rPr>
              <w:t>银河麒麟高级服务器操作系统V10</w:t>
            </w:r>
          </w:p>
        </w:tc>
      </w:tr>
      <w:tr w14:paraId="16D8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14:paraId="56692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auto"/>
                <w:sz w:val="21"/>
                <w:szCs w:val="21"/>
                <w:u w:val="none"/>
              </w:rPr>
            </w:pPr>
            <w:r>
              <w:rPr>
                <w:rFonts w:hint="eastAsia" w:ascii="Times New Roman" w:hAnsi="Times New Roman" w:eastAsia="宋体" w:cs="宋体"/>
                <w:i w:val="0"/>
                <w:iCs w:val="0"/>
                <w:color w:val="auto"/>
                <w:kern w:val="0"/>
                <w:sz w:val="21"/>
                <w:szCs w:val="21"/>
                <w:u w:val="none"/>
                <w:lang w:val="en-US" w:eastAsia="zh-CN" w:bidi="ar"/>
              </w:rPr>
              <w:t>分类</w:t>
            </w:r>
          </w:p>
        </w:tc>
        <w:tc>
          <w:tcPr>
            <w:tcW w:w="1540" w:type="dxa"/>
            <w:tcBorders>
              <w:top w:val="single" w:color="auto" w:sz="4" w:space="0"/>
              <w:left w:val="single" w:color="auto" w:sz="4" w:space="0"/>
              <w:bottom w:val="single" w:color="auto" w:sz="4" w:space="0"/>
              <w:right w:val="single" w:color="auto" w:sz="4" w:space="0"/>
            </w:tcBorders>
            <w:shd w:val="clear" w:color="auto" w:fill="auto"/>
            <w:vAlign w:val="center"/>
          </w:tcPr>
          <w:p w14:paraId="51CFF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auto"/>
                <w:sz w:val="21"/>
                <w:szCs w:val="21"/>
                <w:u w:val="none"/>
              </w:rPr>
            </w:pPr>
            <w:r>
              <w:rPr>
                <w:rFonts w:hint="eastAsia" w:ascii="Times New Roman" w:hAnsi="Times New Roman" w:eastAsia="宋体" w:cs="宋体"/>
                <w:i w:val="0"/>
                <w:iCs w:val="0"/>
                <w:color w:val="auto"/>
                <w:kern w:val="0"/>
                <w:sz w:val="21"/>
                <w:szCs w:val="21"/>
                <w:u w:val="none"/>
                <w:lang w:val="en-US" w:eastAsia="zh-CN" w:bidi="ar"/>
              </w:rPr>
              <w:t>技术指标项</w:t>
            </w:r>
          </w:p>
        </w:tc>
        <w:tc>
          <w:tcPr>
            <w:tcW w:w="5774" w:type="dxa"/>
            <w:tcBorders>
              <w:top w:val="single" w:color="auto" w:sz="4" w:space="0"/>
              <w:left w:val="single" w:color="auto" w:sz="4" w:space="0"/>
              <w:bottom w:val="single" w:color="auto" w:sz="4" w:space="0"/>
              <w:right w:val="single" w:color="auto" w:sz="4" w:space="0"/>
            </w:tcBorders>
            <w:shd w:val="clear" w:color="auto" w:fill="auto"/>
            <w:vAlign w:val="center"/>
          </w:tcPr>
          <w:p w14:paraId="4CDBB9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i w:val="0"/>
                <w:iCs w:val="0"/>
                <w:color w:val="auto"/>
                <w:sz w:val="21"/>
                <w:szCs w:val="21"/>
                <w:u w:val="none"/>
              </w:rPr>
            </w:pPr>
            <w:r>
              <w:rPr>
                <w:rFonts w:hint="eastAsia" w:ascii="Times New Roman" w:hAnsi="Times New Roman" w:eastAsia="宋体" w:cs="宋体"/>
                <w:i w:val="0"/>
                <w:iCs w:val="0"/>
                <w:color w:val="auto"/>
                <w:kern w:val="0"/>
                <w:sz w:val="21"/>
                <w:szCs w:val="21"/>
                <w:u w:val="none"/>
                <w:lang w:val="en-US" w:eastAsia="zh-CN" w:bidi="ar"/>
              </w:rPr>
              <w:t>技术参数/说明</w:t>
            </w:r>
          </w:p>
        </w:tc>
      </w:tr>
      <w:tr w14:paraId="66C27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1F759C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基础核心</w:t>
            </w:r>
          </w:p>
        </w:tc>
        <w:tc>
          <w:tcPr>
            <w:tcW w:w="1540" w:type="dxa"/>
            <w:tcBorders>
              <w:top w:val="single" w:color="auto" w:sz="4" w:space="0"/>
              <w:left w:val="single" w:color="000000" w:sz="4" w:space="0"/>
              <w:bottom w:val="single" w:color="000000" w:sz="4" w:space="0"/>
              <w:right w:val="single" w:color="000000" w:sz="4" w:space="0"/>
            </w:tcBorders>
            <w:shd w:val="clear" w:color="auto" w:fill="auto"/>
            <w:vAlign w:val="center"/>
          </w:tcPr>
          <w:p w14:paraId="74EC3B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内核版本</w:t>
            </w:r>
          </w:p>
        </w:tc>
        <w:tc>
          <w:tcPr>
            <w:tcW w:w="5774" w:type="dxa"/>
            <w:tcBorders>
              <w:top w:val="single" w:color="auto" w:sz="4" w:space="0"/>
              <w:left w:val="single" w:color="000000" w:sz="4" w:space="0"/>
              <w:bottom w:val="single" w:color="000000" w:sz="4" w:space="0"/>
              <w:right w:val="single" w:color="000000" w:sz="4" w:space="0"/>
            </w:tcBorders>
            <w:shd w:val="clear" w:color="auto" w:fill="auto"/>
            <w:vAlign w:val="center"/>
          </w:tcPr>
          <w:p w14:paraId="0E6F523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宋体"/>
                <w:i w:val="0"/>
                <w:iCs w:val="0"/>
                <w:color w:val="000000"/>
                <w:sz w:val="21"/>
                <w:szCs w:val="21"/>
                <w:u w:val="none"/>
                <w:lang w:val="en-US"/>
              </w:rPr>
            </w:pPr>
            <w:r>
              <w:rPr>
                <w:rFonts w:hint="eastAsia" w:ascii="Times New Roman" w:hAnsi="Times New Roman" w:eastAsia="宋体" w:cs="宋体"/>
                <w:i w:val="0"/>
                <w:iCs w:val="0"/>
                <w:color w:val="000000"/>
                <w:kern w:val="0"/>
                <w:sz w:val="21"/>
                <w:szCs w:val="21"/>
                <w:u w:val="none"/>
                <w:lang w:val="en-US" w:eastAsia="zh-CN" w:bidi="ar"/>
              </w:rPr>
              <w:t>Kernel: 4.19.90-25.66.v2101.ky10.x86_64</w:t>
            </w:r>
          </w:p>
        </w:tc>
      </w:tr>
      <w:tr w14:paraId="286FB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B6380">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84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标准符合度</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844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符合 POSIX 和 LSB 标准</w:t>
            </w:r>
          </w:p>
        </w:tc>
      </w:tr>
      <w:tr w14:paraId="58C66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E8A18">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B17A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标准符合度</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507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产品研发符合 CMMI5 标准</w:t>
            </w:r>
          </w:p>
        </w:tc>
      </w:tr>
      <w:tr w14:paraId="46758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79204">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AE4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标准符合度</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D50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符合 CGL 5.0</w:t>
            </w:r>
          </w:p>
        </w:tc>
      </w:tr>
      <w:tr w14:paraId="12E29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F129D">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185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标准符合度</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2FB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符合 GB18030-2022 标准</w:t>
            </w:r>
          </w:p>
        </w:tc>
      </w:tr>
      <w:tr w14:paraId="1C9C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4"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352A2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架构支持</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826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支持处理器平台</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5A1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海光：海光 1 号、海光 2 号、海光 C86-3G、海光 C86-4G；</w:t>
            </w:r>
          </w:p>
        </w:tc>
      </w:tr>
      <w:tr w14:paraId="72A31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79443">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26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最大支持逻辑核数</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8FA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X86：8192；ARM：1024；Mips64el：64；Loongarch64：64</w:t>
            </w:r>
          </w:p>
        </w:tc>
      </w:tr>
      <w:tr w14:paraId="42059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AAF3E">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73C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最大物理内存</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738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X86：16TB[64T]；ARM：16TB[64T]；Mips64el：128GB[1TB]；Loongarch64：512GB[2TB]</w:t>
            </w:r>
          </w:p>
        </w:tc>
      </w:tr>
      <w:tr w14:paraId="4131A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85FAD">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0F1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页大小支持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4B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ARM：64K；X86：4K；SW64：8K；Mips64el：4K；Loongarch64：16K</w:t>
            </w:r>
          </w:p>
        </w:tc>
      </w:tr>
      <w:tr w14:paraId="7D551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C57A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文件系统与引导</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B02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文件系统支持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9A0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默认使用 XFS，支持 EXT3、EXT4、GFS、GFS2 等</w:t>
            </w:r>
          </w:p>
        </w:tc>
      </w:tr>
      <w:tr w14:paraId="6979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2BA3F">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DE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安装引导</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806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GRUB2 引导，支持 MBR 及 GPT（GUID 分区表）分区，支持 NTFS 文件系统</w:t>
            </w:r>
          </w:p>
        </w:tc>
      </w:tr>
      <w:tr w14:paraId="6EA25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767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图形与计算</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02D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图形化支持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DAC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 UKUI 桌面环境</w:t>
            </w:r>
          </w:p>
        </w:tc>
      </w:tr>
      <w:tr w14:paraId="2626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67150">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88C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计算支持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5147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支持双核及多核处理器；支持并优化 NUMA 体系架构；支持在运行时分配 1GB hugetlbfs</w:t>
            </w:r>
          </w:p>
        </w:tc>
      </w:tr>
      <w:tr w14:paraId="5C647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3"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7AAA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存储与网络</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2CA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存储支持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7E6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内置支持快速块设备作为慢速块设备缓存以加速 IO；支持 swap 压缩以减少 IO 并提高性能；支持 FCoE、iSCSI；支持将 Ceph 块设备视为常规磁盘设备，挂载到目录并使用标准文件系统格式化（如 XFS 或 EXT4）</w:t>
            </w:r>
          </w:p>
        </w:tc>
      </w:tr>
      <w:tr w14:paraId="451A5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A9261">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25C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网络支持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FB5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支持网卡 bonding</w:t>
            </w:r>
          </w:p>
        </w:tc>
      </w:tr>
      <w:tr w14:paraId="7955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6C71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应用开发运行环境</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55C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开发工具</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C0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集成 Qt 等开发框架</w:t>
            </w:r>
          </w:p>
        </w:tc>
      </w:tr>
      <w:tr w14:paraId="66FDE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3"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FA90C">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5DA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开发工具</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F3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GCC 包含的 C、C++、Objective C、Objective C++ 和 Fortran 等，相应支持库（libstdc++、libgcj 等）</w:t>
            </w:r>
          </w:p>
        </w:tc>
      </w:tr>
      <w:tr w14:paraId="4EDD9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AFCE3">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9E8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开发工具</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D03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Python、Perl、Shell、Ruby、PHP 等脚本语言</w:t>
            </w:r>
          </w:p>
        </w:tc>
      </w:tr>
      <w:tr w14:paraId="78C63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2BF2C">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72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运行环境</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6FF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Java 1.7、1.8、11 等</w:t>
            </w:r>
          </w:p>
        </w:tc>
      </w:tr>
      <w:tr w14:paraId="3783B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74B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常用应用支持</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FC6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默认应用</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E4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默认提供 apache http、ftp、DNS、DHCP、MariaDB、PostgreSQL、NFS、Samba、LDAP 等应用</w:t>
            </w:r>
          </w:p>
        </w:tc>
      </w:tr>
      <w:tr w14:paraId="6A96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31C4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易用性</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BC5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安装</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1A4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提供全中文化的图形操作界面及帮助</w:t>
            </w:r>
          </w:p>
        </w:tc>
      </w:tr>
      <w:tr w14:paraId="7800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4A7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66B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中文处理</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426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采用 i18n（国际化）技术和标准，支持最新国家标准字符集（如：GB18030-2005）</w:t>
            </w:r>
          </w:p>
        </w:tc>
      </w:tr>
      <w:tr w14:paraId="251C0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2216B">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3DA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服务与文档</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CC4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提供常用的系统服务支持并提供常用服务的中文帮助文档</w:t>
            </w:r>
          </w:p>
        </w:tc>
      </w:tr>
      <w:tr w14:paraId="1B8EA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3"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9AB42">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3F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管理工具</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1C9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 OpenLMI 以简化任务配置及服务器管理；提供图形化的远程桌面查看工具，支持 SSH、SPICE、VNC、RDP 协议；支持按需启动守护进程；</w:t>
            </w:r>
          </w:p>
        </w:tc>
      </w:tr>
      <w:tr w14:paraId="63CDD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54B4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高可用性</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A1B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负载均衡</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4F9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支持负载均衡</w:t>
            </w:r>
          </w:p>
        </w:tc>
      </w:tr>
      <w:tr w14:paraId="41CF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F4739">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B3A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网卡绑定</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50B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支持多种网卡 Bonding，提高可用性</w:t>
            </w:r>
          </w:p>
        </w:tc>
      </w:tr>
      <w:tr w14:paraId="245BA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E455C">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8B4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存储多路径</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629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支持存储多路径并提供国际标准 multipath 驱动</w:t>
            </w:r>
          </w:p>
        </w:tc>
      </w:tr>
      <w:tr w14:paraId="7F6D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9A68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可维护性</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17C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在线升级</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DD7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提供在线升级服务</w:t>
            </w:r>
          </w:p>
        </w:tc>
      </w:tr>
      <w:tr w14:paraId="02DCA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9978">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A4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动态内核补丁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484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支持动态内核补丁，支持在不重启的情况下为内核打补丁</w:t>
            </w:r>
          </w:p>
        </w:tc>
      </w:tr>
      <w:tr w14:paraId="2430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3"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C807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8F8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崩溃转储</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988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 Kdump 用于系统崩溃时的信息收集，支持最大 3TB 内存；支持固件辅助转储 fadump；支持系统 crash 时对系统崩溃信息进行分析</w:t>
            </w:r>
          </w:p>
        </w:tc>
      </w:tr>
      <w:tr w14:paraId="3A8E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37A84">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A48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诊断信息收集</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3A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sosreport 收集系统配置和运行主机上的诊断信息，协助排查故障</w:t>
            </w:r>
          </w:p>
        </w:tc>
      </w:tr>
      <w:tr w14:paraId="791B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3"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5F652">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A6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错误报告</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909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提供程序错误自动报告工具，统一不同源的出错数据集合，捕获、处理并记录所有来自内核追踪架构的可靠性、可用性及可服务性（RAS）出错事件</w:t>
            </w:r>
          </w:p>
        </w:tc>
      </w:tr>
      <w:tr w14:paraId="18426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3D92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DDF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故障排除工具</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A6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提供强制访问控制故障排除工具</w:t>
            </w:r>
          </w:p>
        </w:tc>
      </w:tr>
      <w:tr w14:paraId="3E236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B7F8F">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190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性能分析工具</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44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 oProfile、papi、elfutils 等内核性能分析工具；提供 Performance Co-Pilot 对系统级性能测定进行采集、归档和分析的工具、服务及库套件；提供 SystemTap 在整个非特权用户空间运行的基于 DynInst 检测，同时也支持基于 Byteman 的 Java 应用程序精确探测</w:t>
            </w:r>
          </w:p>
        </w:tc>
      </w:tr>
      <w:tr w14:paraId="46C22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316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安全性</w:t>
            </w: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167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系统安全性</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336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自研内核统一访问控制安全框架 KYSEC；支持 LSM 和 Kysec 安全框架；可信计算 TCM/TPCM、TPM2.0（内核标准支持）；内置国密算法，支持基于国密算法的加解密应用；支持 PAM 认证机制，支持密码及密钥管理；支持内核模块黑名单</w:t>
            </w:r>
          </w:p>
        </w:tc>
      </w:tr>
      <w:tr w14:paraId="44638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87E7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F3C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文件安全性</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5E0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支持文件系统加密；支持文件完整性检查</w:t>
            </w:r>
          </w:p>
        </w:tc>
      </w:tr>
      <w:tr w14:paraId="5A5C8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C6999">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D28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网络安全性</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9D1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Firewalld（IPtables），支持动态管理的防火墙，支持网络"区域"以便为网络及其相关链接和接口分配可信度；支持 IPv4 和 IPv6 防火墙设置；支持以太网桥接并有独立的运行时和持久配置选项；提供可直接添加防火墙规则的服务或者应用程序接口</w:t>
            </w:r>
          </w:p>
        </w:tc>
      </w:tr>
      <w:tr w14:paraId="53EA4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2D674">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11C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强制访问控制</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DD9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支持强制访问控制，内置式一体化安全体系，支持多策略融合的强制访问控制机制</w:t>
            </w:r>
          </w:p>
        </w:tc>
      </w:tr>
      <w:tr w14:paraId="3BBC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4810E">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F54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审计</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1D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提供系统审计日志</w:t>
            </w:r>
          </w:p>
        </w:tc>
      </w:tr>
      <w:tr w14:paraId="257DA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57C54">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A82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国内数据库适配</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A5F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人大金仓、达梦、神舟通用、南大通用、瀚高、高斯、GodenDB、蚂蚁金服等</w:t>
            </w:r>
          </w:p>
        </w:tc>
      </w:tr>
      <w:tr w14:paraId="1D38F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C10C0">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9A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国内中间件适配</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EE0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东方通、金蝶、中创、华宇等</w:t>
            </w:r>
          </w:p>
        </w:tc>
      </w:tr>
      <w:tr w14:paraId="2D73E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FAE1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4C0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国内浏览器适配</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55E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360 浏览器、奇安信等</w:t>
            </w:r>
          </w:p>
        </w:tc>
      </w:tr>
      <w:tr w14:paraId="09ADC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0115F">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i w:val="0"/>
                <w:iCs w:val="0"/>
                <w:color w:val="000000"/>
                <w:sz w:val="21"/>
                <w:szCs w:val="21"/>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E19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配套支撑产品</w:t>
            </w:r>
          </w:p>
        </w:tc>
        <w:tc>
          <w:tcPr>
            <w:tcW w:w="5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305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提供同品牌的中标普华 Office、高可用集群、负载均衡集群、虚拟化平台、综合管理平台等配套软件</w:t>
            </w:r>
          </w:p>
        </w:tc>
      </w:tr>
    </w:tbl>
    <w:p w14:paraId="6601ADD9">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b/>
          <w:bCs/>
          <w:sz w:val="28"/>
          <w:szCs w:val="28"/>
          <w:lang w:val="en-US" w:eastAsia="zh-CN"/>
        </w:rPr>
      </w:pPr>
    </w:p>
    <w:tbl>
      <w:tblPr>
        <w:tblStyle w:val="13"/>
        <w:tblW w:w="86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11"/>
        <w:gridCol w:w="1773"/>
        <w:gridCol w:w="5236"/>
      </w:tblGrid>
      <w:tr w14:paraId="2EA50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86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CC5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val="0"/>
                <w:bCs w:val="0"/>
                <w:i w:val="0"/>
                <w:iCs w:val="0"/>
                <w:color w:val="auto"/>
                <w:kern w:val="0"/>
                <w:sz w:val="21"/>
                <w:szCs w:val="21"/>
                <w:u w:val="none"/>
                <w:lang w:val="en-US" w:eastAsia="zh-CN" w:bidi="ar"/>
              </w:rPr>
            </w:pPr>
            <w:r>
              <w:rPr>
                <w:rFonts w:hint="eastAsia" w:ascii="Times New Roman" w:hAnsi="Times New Roman"/>
                <w:b w:val="0"/>
                <w:bCs/>
                <w:lang w:val="en-US" w:eastAsia="zh-CN"/>
              </w:rPr>
              <w:t>银河麒麟高级服务器操作系统V11</w:t>
            </w:r>
          </w:p>
        </w:tc>
      </w:tr>
      <w:tr w14:paraId="08D25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F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val="0"/>
                <w:bCs w:val="0"/>
                <w:i w:val="0"/>
                <w:iCs w:val="0"/>
                <w:color w:val="FFFFFF"/>
                <w:sz w:val="21"/>
                <w:szCs w:val="21"/>
                <w:u w:val="none"/>
              </w:rPr>
            </w:pPr>
            <w:r>
              <w:rPr>
                <w:rFonts w:hint="eastAsia" w:ascii="Times New Roman" w:hAnsi="Times New Roman" w:eastAsia="宋体" w:cs="宋体"/>
                <w:b w:val="0"/>
                <w:bCs w:val="0"/>
                <w:i w:val="0"/>
                <w:iCs w:val="0"/>
                <w:color w:val="auto"/>
                <w:kern w:val="0"/>
                <w:sz w:val="21"/>
                <w:szCs w:val="21"/>
                <w:u w:val="none"/>
                <w:lang w:val="en-US" w:eastAsia="zh-CN" w:bidi="ar"/>
              </w:rPr>
              <w:t>分类</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8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val="0"/>
                <w:bCs w:val="0"/>
                <w:i w:val="0"/>
                <w:iCs w:val="0"/>
                <w:color w:val="auto"/>
                <w:kern w:val="0"/>
                <w:sz w:val="21"/>
                <w:szCs w:val="21"/>
                <w:u w:val="none"/>
                <w:lang w:val="en-US" w:eastAsia="zh-CN" w:bidi="ar"/>
              </w:rPr>
            </w:pPr>
            <w:r>
              <w:rPr>
                <w:rFonts w:hint="eastAsia" w:ascii="Times New Roman" w:hAnsi="Times New Roman" w:eastAsia="宋体" w:cs="宋体"/>
                <w:b w:val="0"/>
                <w:bCs w:val="0"/>
                <w:i w:val="0"/>
                <w:iCs w:val="0"/>
                <w:color w:val="auto"/>
                <w:kern w:val="0"/>
                <w:sz w:val="21"/>
                <w:szCs w:val="21"/>
                <w:u w:val="none"/>
                <w:lang w:val="en-US" w:eastAsia="zh-CN" w:bidi="ar"/>
              </w:rPr>
              <w:t>技术指标项</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DF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imes New Roman" w:hAnsi="Times New Roman" w:eastAsia="宋体" w:cs="宋体"/>
                <w:b w:val="0"/>
                <w:bCs w:val="0"/>
                <w:i w:val="0"/>
                <w:iCs w:val="0"/>
                <w:color w:val="auto"/>
                <w:kern w:val="0"/>
                <w:sz w:val="21"/>
                <w:szCs w:val="21"/>
                <w:u w:val="none"/>
                <w:lang w:val="en-US" w:eastAsia="zh-CN" w:bidi="ar"/>
              </w:rPr>
            </w:pPr>
            <w:r>
              <w:rPr>
                <w:rFonts w:hint="eastAsia" w:ascii="Times New Roman" w:hAnsi="Times New Roman" w:eastAsia="宋体" w:cs="宋体"/>
                <w:b w:val="0"/>
                <w:bCs w:val="0"/>
                <w:i w:val="0"/>
                <w:iCs w:val="0"/>
                <w:color w:val="auto"/>
                <w:kern w:val="0"/>
                <w:sz w:val="21"/>
                <w:szCs w:val="21"/>
                <w:u w:val="none"/>
                <w:lang w:val="en-US" w:eastAsia="zh-CN" w:bidi="ar"/>
              </w:rPr>
              <w:t>技术参数/说明</w:t>
            </w:r>
          </w:p>
        </w:tc>
      </w:tr>
      <w:tr w14:paraId="287F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6FAD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基础核心</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6C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内核版本</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1F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Kernel: 6.6.0</w:t>
            </w:r>
          </w:p>
        </w:tc>
      </w:tr>
      <w:tr w14:paraId="3B206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04E1F">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BA2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标准符合度</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CEE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符合 POSIX 标准</w:t>
            </w:r>
          </w:p>
        </w:tc>
      </w:tr>
      <w:tr w14:paraId="084D3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005CE">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E95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标准符合度</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ED7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符合 GB18030-2022 标准</w:t>
            </w:r>
          </w:p>
        </w:tc>
      </w:tr>
      <w:tr w14:paraId="361F3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0E6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CPU平台支持</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3EE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海光</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9F2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海光 2 号、C86-3G、C86-4G</w:t>
            </w:r>
          </w:p>
        </w:tc>
      </w:tr>
      <w:tr w14:paraId="45FA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A7D3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系统资源上限</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66E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最大逻辑CPU数</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6F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X86_64：1782[8192]；ARM64：512[4096]；Loongarch64：64[256]</w:t>
            </w:r>
          </w:p>
        </w:tc>
      </w:tr>
      <w:tr w14:paraId="60C0D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97271">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218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最大内存</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E8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X86_64：48TB[64T]；ARM64：1.5TB[256T]；Loongarch64：256GB[20TB]</w:t>
            </w:r>
          </w:p>
        </w:tc>
      </w:tr>
      <w:tr w14:paraId="6A738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56EC5">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73D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页大小支持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ED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X86_64：4K；ARM64：4K（默认）、64K；Loongarch64：16K</w:t>
            </w:r>
          </w:p>
        </w:tc>
      </w:tr>
      <w:tr w14:paraId="072B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97E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安装与图形</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FE4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安装引导</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2E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支持 UEFI 和传统 BIOS 引导，可通过本地介质或网络进行安装</w:t>
            </w:r>
          </w:p>
        </w:tc>
      </w:tr>
      <w:tr w14:paraId="6648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4EFB7">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9E0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图形化支持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CFE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 UKUI 桌面环境，轻量级设计，支持多种架构，提供图形化用户交互界面</w:t>
            </w:r>
          </w:p>
        </w:tc>
      </w:tr>
      <w:tr w14:paraId="48D51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38B3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应用开发运行环境</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577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开发工具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EC6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支持 GCC 包含的 C、C++、Objective C、Objective C++ 和 Fortran 等</w:t>
            </w:r>
          </w:p>
        </w:tc>
      </w:tr>
      <w:tr w14:paraId="745B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A059D">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E37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开发工具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441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相应支持库（libstdc++、libgcj 等）</w:t>
            </w:r>
          </w:p>
        </w:tc>
      </w:tr>
      <w:tr w14:paraId="382AE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CDB8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111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运行环境</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D28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Java 1.8.0、11、17、21；支持 Python、Perl、Shell、Ruby、PHP 等脚本语言</w:t>
            </w:r>
          </w:p>
        </w:tc>
      </w:tr>
      <w:tr w14:paraId="62DC4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6F8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文件系统与存储技术</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908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文件系统-XFS</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4D16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最大文件 8EB / 文件系统 1PB</w:t>
            </w:r>
          </w:p>
        </w:tc>
      </w:tr>
      <w:tr w14:paraId="1363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521BE">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68E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文件系统-EXT4</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C2A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最大文件 16TB / 文件系统 50TB</w:t>
            </w:r>
          </w:p>
        </w:tc>
      </w:tr>
      <w:tr w14:paraId="7032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64E0F">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C22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文件系统-bcachefs</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CCF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写时复制（CoW）的文件系统，最大文件 8EB / 文件系统 1PB</w:t>
            </w:r>
          </w:p>
        </w:tc>
      </w:tr>
      <w:tr w14:paraId="6D40D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4BD4E">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56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文件系统-Btrfs</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885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开源分布式文件系统</w:t>
            </w:r>
          </w:p>
        </w:tc>
      </w:tr>
      <w:tr w14:paraId="1E7C8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0A966">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735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存储管理工具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2A4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磁盘分区管理的机制 LVM2</w:t>
            </w:r>
          </w:p>
        </w:tc>
      </w:tr>
      <w:tr w14:paraId="6FFE1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51BA3">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7AE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存储管理工具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1CF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多路径管理软件包 multipath-tools</w:t>
            </w:r>
          </w:p>
        </w:tc>
      </w:tr>
      <w:tr w14:paraId="3A3B8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57990">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418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存储管理工具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A2D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内存分级扩展工具 etmem</w:t>
            </w:r>
          </w:p>
        </w:tc>
      </w:tr>
      <w:tr w14:paraId="05B04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A203D">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30E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分布式存储</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A47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开源分布式存储系统 Ceph</w:t>
            </w:r>
          </w:p>
        </w:tc>
      </w:tr>
      <w:tr w14:paraId="33155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6F64">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2CB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分布式存储</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0A0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存储性能开发套件 SPDK</w:t>
            </w:r>
          </w:p>
        </w:tc>
      </w:tr>
      <w:tr w14:paraId="07EB3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6AAAE">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482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监控与诊断工具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61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文件系统元数据监控工具 kylin-fs-safe</w:t>
            </w:r>
          </w:p>
        </w:tc>
      </w:tr>
      <w:tr w14:paraId="561C9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EFDF6">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D43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监控与诊断工具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909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存储 IO 诊断工具 kylin-iodiag-tools</w:t>
            </w:r>
          </w:p>
        </w:tc>
      </w:tr>
      <w:tr w14:paraId="1554C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F19E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网络技术</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B8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网络协议支持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EE2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多路径 TCP 协议 MPTCP</w:t>
            </w:r>
          </w:p>
        </w:tc>
      </w:tr>
      <w:tr w14:paraId="33F5F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8E106">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DB1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网络协议支持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D10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支持互联网协议第六版 IPv6</w:t>
            </w:r>
          </w:p>
        </w:tc>
      </w:tr>
      <w:tr w14:paraId="3D27A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00261">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EC1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网络协议支持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893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动态主机配置协议 DHCP</w:t>
            </w:r>
          </w:p>
        </w:tc>
      </w:tr>
      <w:tr w14:paraId="1928E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CADB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37B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网络协议支持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AF0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域名系统安全扩展 DNSSEC</w:t>
            </w:r>
          </w:p>
        </w:tc>
      </w:tr>
      <w:tr w14:paraId="36C20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96AD3">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E1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网络协议支持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3FE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高性能用户态协议栈 Gazelle</w:t>
            </w:r>
          </w:p>
        </w:tc>
      </w:tr>
      <w:tr w14:paraId="25FF7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85227">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B80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安全与管理工具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34F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防火墙工具 iptables</w:t>
            </w:r>
          </w:p>
        </w:tc>
      </w:tr>
      <w:tr w14:paraId="36BB1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FBB8B">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5A7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安全与管理工具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D64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动态防火墙管理工具 firewalld</w:t>
            </w:r>
          </w:p>
        </w:tc>
      </w:tr>
      <w:tr w14:paraId="67C26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70C25">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85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安全与管理工具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0E9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开源网络配置和连接管理工具 NetworkManager</w:t>
            </w:r>
          </w:p>
        </w:tc>
      </w:tr>
      <w:tr w14:paraId="298D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FD648">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val="0"/>
                <w:bCs w:val="0"/>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F6A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安全与管理工具</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FF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集群环境的网络故障分析技术 kynetobser</w:t>
            </w:r>
          </w:p>
        </w:tc>
      </w:tr>
      <w:tr w14:paraId="6B823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BD05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安全技术</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337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安全框架</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628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KSAF 框架，采用分层解耦设计，支持通过策略语言定义和扩展安全功能</w:t>
            </w:r>
          </w:p>
        </w:tc>
      </w:tr>
      <w:tr w14:paraId="417CF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F86E0">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0D1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访问控制</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176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Linux 安全模块，提供强制访问控制机制，默认关闭</w:t>
            </w:r>
          </w:p>
        </w:tc>
      </w:tr>
      <w:tr w14:paraId="6DB2A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00926">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3D6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访问控制</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CE7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麒麟安全机制，支持多种安全模式，默认处于 off 模式</w:t>
            </w:r>
          </w:p>
        </w:tc>
      </w:tr>
      <w:tr w14:paraId="371F2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55AD2">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BD07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身份与认证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698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支持基于 UKEY / 动态口令的本地和远程身份认证</w:t>
            </w:r>
          </w:p>
        </w:tc>
      </w:tr>
      <w:tr w14:paraId="61DD6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44F64">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642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身份与认证</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E67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基于 UEFI 标准的安全机制，通过公钥密码体系确保启动组件的完整性</w:t>
            </w:r>
          </w:p>
        </w:tc>
      </w:tr>
      <w:tr w14:paraId="5A2A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9D92E">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42B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国密算法集成</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377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支持多种国密算法，包括 TLCP、ZUC 等</w:t>
            </w:r>
          </w:p>
        </w:tc>
      </w:tr>
      <w:tr w14:paraId="5BB6A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7E492">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9E1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国密算法集成</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4D42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支持 SM2、SM3、SM4 等国密算法，覆盖远程登录全流程</w:t>
            </w:r>
          </w:p>
        </w:tc>
      </w:tr>
      <w:tr w14:paraId="0BE24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51393">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1A9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国密算法集成</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E77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在 IPsec 协议中支持国密算法，提供符合国家标准的安全解决方案</w:t>
            </w:r>
          </w:p>
        </w:tc>
      </w:tr>
      <w:tr w14:paraId="299B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80C18">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FDD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威胁检测与防护</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A0D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威胁检测工具，轻量级主机入侵检测系统，支持实时监控和风险处理</w:t>
            </w:r>
          </w:p>
        </w:tc>
      </w:tr>
      <w:tr w14:paraId="25D0A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A2B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bCs/>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易用性</w:t>
            </w: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F40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安装</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471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提供全中文化的图形操作界面及帮助</w:t>
            </w:r>
          </w:p>
        </w:tc>
      </w:tr>
      <w:tr w14:paraId="55478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4EE77">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09E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中文处理</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5A8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符合 GB18030-2022 标准</w:t>
            </w:r>
          </w:p>
        </w:tc>
      </w:tr>
      <w:tr w14:paraId="58716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9EA7A">
            <w:pPr>
              <w:pageBreakBefore w:val="0"/>
              <w:kinsoku/>
              <w:wordWrap/>
              <w:overflowPunct/>
              <w:topLinePunct w:val="0"/>
              <w:autoSpaceDE/>
              <w:autoSpaceDN/>
              <w:bidi w:val="0"/>
              <w:adjustRightInd/>
              <w:snapToGrid/>
              <w:spacing w:line="360" w:lineRule="auto"/>
              <w:jc w:val="left"/>
              <w:rPr>
                <w:rFonts w:hint="eastAsia" w:ascii="Times New Roman" w:hAnsi="Times New Roman" w:eastAsia="宋体" w:cs="宋体"/>
                <w:b/>
                <w:bCs/>
                <w:i w:val="0"/>
                <w:iCs w:val="0"/>
                <w:color w:val="000000"/>
                <w:sz w:val="21"/>
                <w:szCs w:val="21"/>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B50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服务与文档</w:t>
            </w:r>
          </w:p>
        </w:tc>
        <w:tc>
          <w:tcPr>
            <w:tcW w:w="5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311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eastAsia="宋体" w:cs="宋体"/>
                <w:i w:val="0"/>
                <w:iCs w:val="0"/>
                <w:color w:val="000000"/>
                <w:sz w:val="21"/>
                <w:szCs w:val="21"/>
                <w:u w:val="none"/>
              </w:rPr>
            </w:pPr>
            <w:r>
              <w:rPr>
                <w:rFonts w:hint="eastAsia" w:ascii="Times New Roman" w:hAnsi="Times New Roman" w:eastAsia="宋体" w:cs="宋体"/>
                <w:i w:val="0"/>
                <w:iCs w:val="0"/>
                <w:color w:val="000000"/>
                <w:kern w:val="0"/>
                <w:sz w:val="21"/>
                <w:szCs w:val="21"/>
                <w:u w:val="none"/>
                <w:lang w:val="en-US" w:eastAsia="zh-CN" w:bidi="ar"/>
              </w:rPr>
              <w:t>提供常用的系统服务支持并提供常用服务的中文帮助文档</w:t>
            </w:r>
          </w:p>
        </w:tc>
      </w:tr>
    </w:tbl>
    <w:p w14:paraId="2D405E7B">
      <w:pPr>
        <w:pStyle w:val="5"/>
        <w:rPr>
          <w:rFonts w:hint="eastAsia"/>
          <w:lang w:val="en-US" w:eastAsia="zh-CN"/>
        </w:rPr>
      </w:pPr>
    </w:p>
    <w:p w14:paraId="35DCA206">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2.原厂维保服务要求</w:t>
      </w:r>
    </w:p>
    <w:p w14:paraId="7E04BF11">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lang w:val="en-US" w:eastAsia="zh-CN"/>
        </w:rPr>
      </w:pPr>
      <w:r>
        <w:rPr>
          <w:rFonts w:hint="eastAsia" w:ascii="仿宋" w:hAnsi="仿宋" w:eastAsia="仿宋"/>
          <w:b/>
          <w:bCs/>
          <w:sz w:val="28"/>
          <w:szCs w:val="28"/>
          <w:lang w:val="en-US" w:eastAsia="zh-CN"/>
        </w:rPr>
        <w:t>服务内容：</w:t>
      </w:r>
      <w:r>
        <w:rPr>
          <w:rFonts w:hint="eastAsia" w:ascii="仿宋" w:hAnsi="仿宋" w:eastAsia="仿宋"/>
          <w:sz w:val="28"/>
          <w:szCs w:val="28"/>
          <w:lang w:val="en-US" w:eastAsia="zh-CN"/>
        </w:rPr>
        <w:t>提供原厂技术支持服务渠道、安全补丁和漏洞修复支持、远程故障分析、日常技术咨询、版本相关技术支持、定期现场巡检、重大故障应急响应等全流程服务。</w:t>
      </w:r>
    </w:p>
    <w:p w14:paraId="6B8886CF">
      <w:pPr>
        <w:keepNext w:val="0"/>
        <w:keepLines w:val="0"/>
        <w:pageBreakBefore w:val="0"/>
        <w:kinsoku/>
        <w:wordWrap/>
        <w:overflowPunct/>
        <w:topLinePunct w:val="0"/>
        <w:autoSpaceDN/>
        <w:bidi w:val="0"/>
        <w:adjustRightInd/>
        <w:snapToGrid/>
        <w:spacing w:line="560" w:lineRule="exact"/>
        <w:ind w:firstLine="562" w:firstLineChars="200"/>
        <w:rPr>
          <w:rFonts w:hint="default" w:ascii="仿宋" w:hAnsi="仿宋" w:eastAsia="仿宋"/>
          <w:sz w:val="28"/>
          <w:szCs w:val="28"/>
          <w:lang w:val="en-US" w:eastAsia="zh-CN"/>
        </w:rPr>
      </w:pPr>
      <w:r>
        <w:rPr>
          <w:rFonts w:hint="eastAsia" w:ascii="仿宋" w:hAnsi="仿宋" w:eastAsia="仿宋"/>
          <w:b/>
          <w:bCs/>
          <w:sz w:val="28"/>
          <w:szCs w:val="28"/>
          <w:lang w:val="en-US" w:eastAsia="zh-CN"/>
        </w:rPr>
        <w:t>服务方案要求</w:t>
      </w:r>
      <w:r>
        <w:rPr>
          <w:rFonts w:hint="eastAsia" w:ascii="仿宋" w:hAnsi="仿宋" w:eastAsia="仿宋"/>
          <w:sz w:val="28"/>
          <w:szCs w:val="28"/>
          <w:lang w:val="en-US" w:eastAsia="zh-CN"/>
        </w:rPr>
        <w:t>：</w:t>
      </w:r>
    </w:p>
    <w:p w14:paraId="5AAFF1EC">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（1）技术支持渠道:热线受理7*24小时覆盖，实时响应；提供在线技术支持；提供技术信息共享。</w:t>
      </w:r>
    </w:p>
    <w:p w14:paraId="4288C4A8">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（2）软件授权服务:软件更新授权7*24覆盖，提供软件的补丁和小版本更新授权；</w:t>
      </w:r>
    </w:p>
    <w:p w14:paraId="6AB8B92F">
      <w:pPr>
        <w:keepNext w:val="0"/>
        <w:keepLines w:val="0"/>
        <w:pageBreakBefore w:val="0"/>
        <w:kinsoku/>
        <w:wordWrap/>
        <w:overflowPunct/>
        <w:topLinePunct w:val="0"/>
        <w:autoSpaceDN/>
        <w:bidi w:val="0"/>
        <w:adjustRightInd/>
        <w:snapToGrid/>
        <w:spacing w:line="560" w:lineRule="exact"/>
        <w:ind w:firstLine="560" w:firstLineChars="200"/>
        <w:rPr>
          <w:rFonts w:hint="default" w:ascii="仿宋" w:hAnsi="仿宋" w:eastAsia="仿宋"/>
          <w:sz w:val="28"/>
          <w:szCs w:val="28"/>
          <w:lang w:val="en-US" w:eastAsia="zh-CN"/>
        </w:rPr>
      </w:pPr>
      <w:r>
        <w:rPr>
          <w:rFonts w:hint="default" w:ascii="仿宋" w:hAnsi="仿宋" w:eastAsia="仿宋"/>
          <w:sz w:val="28"/>
          <w:szCs w:val="28"/>
          <w:lang w:val="en-US" w:eastAsia="zh-CN"/>
        </w:rPr>
        <w:t>（</w:t>
      </w:r>
      <w:r>
        <w:rPr>
          <w:rFonts w:hint="eastAsia" w:ascii="仿宋" w:hAnsi="仿宋" w:eastAsia="仿宋"/>
          <w:sz w:val="28"/>
          <w:szCs w:val="28"/>
          <w:lang w:val="en-US" w:eastAsia="zh-CN"/>
        </w:rPr>
        <w:t>3</w:t>
      </w:r>
      <w:r>
        <w:rPr>
          <w:rFonts w:hint="default" w:ascii="仿宋" w:hAnsi="仿宋" w:eastAsia="仿宋"/>
          <w:sz w:val="28"/>
          <w:szCs w:val="28"/>
          <w:lang w:val="en-US" w:eastAsia="zh-CN"/>
        </w:rPr>
        <w:t>）系统安装部署指导：提供符合</w:t>
      </w:r>
      <w:r>
        <w:rPr>
          <w:rFonts w:hint="eastAsia" w:ascii="仿宋" w:hAnsi="仿宋" w:eastAsia="仿宋"/>
          <w:sz w:val="28"/>
          <w:szCs w:val="28"/>
          <w:lang w:val="en-US" w:eastAsia="zh-CN"/>
        </w:rPr>
        <w:t>采购</w:t>
      </w:r>
      <w:r>
        <w:rPr>
          <w:rFonts w:hint="default" w:ascii="仿宋" w:hAnsi="仿宋" w:eastAsia="仿宋"/>
          <w:sz w:val="28"/>
          <w:szCs w:val="28"/>
          <w:lang w:val="en-US" w:eastAsia="zh-CN"/>
        </w:rPr>
        <w:t>要求版本的安装源、手册或线上远程对用户使用过程中遇到的问题给与指导。</w:t>
      </w:r>
    </w:p>
    <w:p w14:paraId="1D77C27B">
      <w:pPr>
        <w:keepNext w:val="0"/>
        <w:keepLines w:val="0"/>
        <w:pageBreakBefore w:val="0"/>
        <w:kinsoku/>
        <w:wordWrap/>
        <w:overflowPunct/>
        <w:topLinePunct w:val="0"/>
        <w:autoSpaceDN/>
        <w:bidi w:val="0"/>
        <w:adjustRightInd/>
        <w:snapToGrid/>
        <w:spacing w:line="560" w:lineRule="exact"/>
        <w:ind w:firstLine="560" w:firstLineChars="200"/>
        <w:rPr>
          <w:rFonts w:hint="default" w:ascii="仿宋" w:hAnsi="仿宋" w:eastAsia="仿宋"/>
          <w:sz w:val="28"/>
          <w:szCs w:val="28"/>
          <w:lang w:val="en-US" w:eastAsia="zh-CN"/>
        </w:rPr>
      </w:pPr>
      <w:r>
        <w:rPr>
          <w:rFonts w:hint="default" w:ascii="仿宋" w:hAnsi="仿宋" w:eastAsia="仿宋"/>
          <w:sz w:val="28"/>
          <w:szCs w:val="28"/>
          <w:lang w:val="en-US" w:eastAsia="zh-CN"/>
        </w:rPr>
        <w:t>（</w:t>
      </w:r>
      <w:r>
        <w:rPr>
          <w:rFonts w:hint="eastAsia" w:ascii="仿宋" w:hAnsi="仿宋" w:eastAsia="仿宋"/>
          <w:sz w:val="28"/>
          <w:szCs w:val="28"/>
          <w:lang w:val="en-US" w:eastAsia="zh-CN"/>
        </w:rPr>
        <w:t>4</w:t>
      </w:r>
      <w:r>
        <w:rPr>
          <w:rFonts w:hint="default" w:ascii="仿宋" w:hAnsi="仿宋" w:eastAsia="仿宋"/>
          <w:sz w:val="28"/>
          <w:szCs w:val="28"/>
          <w:lang w:val="en-US" w:eastAsia="zh-CN"/>
        </w:rPr>
        <w:t>）系统升级指导：提供在线软件仓库获取在线升级，新版本更新源包括且不限于产品新功能、Bug修复、安全问题修复等功能变更。</w:t>
      </w:r>
    </w:p>
    <w:p w14:paraId="0A01FC8F">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（5）定期现场巡检：制定巡检方案和计划，提供周期性巡检服务，包括告警分析与处理、日志审查与诊断、系统配置备份、补丁与漏洞检查；</w:t>
      </w:r>
    </w:p>
    <w:p w14:paraId="0FAD695A">
      <w:pPr>
        <w:keepNext w:val="0"/>
        <w:keepLines w:val="0"/>
        <w:pageBreakBefore w:val="0"/>
        <w:kinsoku/>
        <w:wordWrap/>
        <w:overflowPunct/>
        <w:topLinePunct w:val="0"/>
        <w:autoSpaceDN/>
        <w:bidi w:val="0"/>
        <w:adjustRightInd/>
        <w:snapToGrid/>
        <w:spacing w:line="560" w:lineRule="exact"/>
        <w:ind w:firstLine="560" w:firstLineChars="200"/>
        <w:rPr>
          <w:rFonts w:hint="default" w:ascii="仿宋" w:hAnsi="仿宋" w:eastAsia="仿宋"/>
          <w:sz w:val="28"/>
          <w:szCs w:val="28"/>
          <w:highlight w:val="none"/>
          <w:lang w:val="en-US" w:eastAsia="zh-CN"/>
        </w:rPr>
      </w:pPr>
      <w:r>
        <w:rPr>
          <w:rFonts w:hint="default" w:ascii="仿宋" w:hAnsi="仿宋" w:eastAsia="仿宋"/>
          <w:sz w:val="28"/>
          <w:szCs w:val="28"/>
          <w:lang w:val="en-US" w:eastAsia="zh-CN"/>
        </w:rPr>
        <w:t>（</w:t>
      </w:r>
      <w:r>
        <w:rPr>
          <w:rFonts w:hint="eastAsia" w:ascii="仿宋" w:hAnsi="仿宋" w:eastAsia="仿宋"/>
          <w:sz w:val="28"/>
          <w:szCs w:val="28"/>
          <w:lang w:val="en-US" w:eastAsia="zh-CN"/>
        </w:rPr>
        <w:t>6</w:t>
      </w:r>
      <w:r>
        <w:rPr>
          <w:rFonts w:hint="default" w:ascii="仿宋" w:hAnsi="仿宋" w:eastAsia="仿宋"/>
          <w:sz w:val="28"/>
          <w:szCs w:val="28"/>
          <w:lang w:val="en-US" w:eastAsia="zh-CN"/>
        </w:rPr>
        <w:t>）</w:t>
      </w:r>
      <w:r>
        <w:rPr>
          <w:rFonts w:hint="eastAsia" w:ascii="仿宋" w:hAnsi="仿宋" w:eastAsia="仿宋"/>
          <w:sz w:val="28"/>
          <w:szCs w:val="28"/>
          <w:lang w:val="en-US" w:eastAsia="zh-CN"/>
        </w:rPr>
        <w:t>故障响应：</w:t>
      </w:r>
      <w:r>
        <w:rPr>
          <w:rFonts w:hint="eastAsia" w:ascii="仿宋" w:hAnsi="仿宋" w:eastAsia="仿宋"/>
          <w:sz w:val="28"/>
          <w:szCs w:val="28"/>
          <w:highlight w:val="none"/>
          <w:lang w:val="en-US" w:eastAsia="zh-CN"/>
        </w:rPr>
        <w:t>当</w:t>
      </w:r>
      <w:r>
        <w:rPr>
          <w:rFonts w:hint="default" w:ascii="仿宋" w:hAnsi="仿宋" w:eastAsia="仿宋"/>
          <w:sz w:val="28"/>
          <w:szCs w:val="28"/>
          <w:highlight w:val="none"/>
          <w:lang w:val="en-US" w:eastAsia="zh-CN"/>
        </w:rPr>
        <w:t>产品出现问题</w:t>
      </w:r>
      <w:r>
        <w:rPr>
          <w:rFonts w:hint="eastAsia" w:ascii="仿宋" w:hAnsi="仿宋" w:eastAsia="仿宋"/>
          <w:sz w:val="28"/>
          <w:szCs w:val="28"/>
          <w:highlight w:val="none"/>
          <w:lang w:val="en-US" w:eastAsia="zh-CN"/>
        </w:rPr>
        <w:t>导致业务中断的，在接到电话或微信通知后30分钟内做出响应；当</w:t>
      </w:r>
      <w:r>
        <w:rPr>
          <w:rFonts w:hint="default" w:ascii="仿宋" w:hAnsi="仿宋" w:eastAsia="仿宋"/>
          <w:sz w:val="28"/>
          <w:szCs w:val="28"/>
          <w:highlight w:val="none"/>
          <w:lang w:val="en-US" w:eastAsia="zh-CN"/>
        </w:rPr>
        <w:t>产品出现问题</w:t>
      </w:r>
      <w:r>
        <w:rPr>
          <w:rFonts w:hint="eastAsia" w:ascii="仿宋" w:hAnsi="仿宋" w:eastAsia="仿宋"/>
          <w:sz w:val="28"/>
          <w:szCs w:val="28"/>
          <w:highlight w:val="none"/>
          <w:lang w:val="en-US" w:eastAsia="zh-CN"/>
        </w:rPr>
        <w:t>导致性能下降，业务受到严重影响的，在接到电话或微信通知后1小时内做出响应；普通故障导致业务受到较低影响的，在接到电话或微信通知后2小时内做出响应。针对业务中断情况，如无法远程解决的，需确保90分钟内派技术人员赶到现场进行故障修复。</w:t>
      </w:r>
    </w:p>
    <w:p w14:paraId="152A4093">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highlight w:val="green"/>
          <w:lang w:val="en-US" w:eastAsia="zh-CN"/>
        </w:rPr>
      </w:pPr>
      <w:r>
        <w:rPr>
          <w:rFonts w:hint="default" w:ascii="仿宋" w:hAnsi="仿宋" w:eastAsia="仿宋"/>
          <w:sz w:val="28"/>
          <w:szCs w:val="28"/>
          <w:lang w:val="en-US" w:eastAsia="zh-CN"/>
        </w:rPr>
        <w:t>（</w:t>
      </w:r>
      <w:r>
        <w:rPr>
          <w:rFonts w:hint="eastAsia" w:ascii="仿宋" w:hAnsi="仿宋" w:eastAsia="仿宋"/>
          <w:sz w:val="28"/>
          <w:szCs w:val="28"/>
          <w:lang w:val="en-US" w:eastAsia="zh-CN"/>
        </w:rPr>
        <w:t>7</w:t>
      </w:r>
      <w:r>
        <w:rPr>
          <w:rFonts w:hint="default" w:ascii="仿宋" w:hAnsi="仿宋" w:eastAsia="仿宋"/>
          <w:sz w:val="28"/>
          <w:szCs w:val="28"/>
          <w:lang w:val="en-US" w:eastAsia="zh-CN"/>
        </w:rPr>
        <w:t>）</w:t>
      </w:r>
      <w:r>
        <w:rPr>
          <w:rFonts w:hint="eastAsia" w:ascii="仿宋" w:hAnsi="仿宋" w:eastAsia="仿宋"/>
          <w:sz w:val="28"/>
          <w:szCs w:val="28"/>
          <w:lang w:val="en-US" w:eastAsia="zh-CN"/>
        </w:rPr>
        <w:t>应急保障措施</w:t>
      </w:r>
      <w:r>
        <w:rPr>
          <w:rFonts w:hint="default" w:ascii="仿宋" w:hAnsi="仿宋" w:eastAsia="仿宋"/>
          <w:sz w:val="28"/>
          <w:szCs w:val="28"/>
          <w:lang w:val="en-US" w:eastAsia="zh-CN"/>
        </w:rPr>
        <w:t>：</w:t>
      </w:r>
      <w:r>
        <w:rPr>
          <w:rFonts w:hint="eastAsia" w:ascii="仿宋" w:hAnsi="仿宋" w:eastAsia="仿宋"/>
          <w:sz w:val="28"/>
          <w:szCs w:val="28"/>
          <w:lang w:val="en-US" w:eastAsia="zh-CN"/>
        </w:rPr>
        <w:t>分析项目风险，准备应对措施。对于当日无法解决的故障，提供应急解决方案；提供重大节日保障服务；配合甲方完成应急演练任务等。</w:t>
      </w:r>
    </w:p>
    <w:p w14:paraId="4AB5DA04">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3.原厂人天技术支持服务要求</w:t>
      </w:r>
    </w:p>
    <w:p w14:paraId="191CCB3B">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highlight w:val="none"/>
          <w:lang w:val="en-US" w:eastAsia="zh-CN"/>
        </w:rPr>
      </w:pPr>
      <w:r>
        <w:rPr>
          <w:rFonts w:hint="eastAsia" w:ascii="仿宋" w:hAnsi="仿宋" w:eastAsia="仿宋"/>
          <w:b/>
          <w:bCs/>
          <w:sz w:val="28"/>
          <w:szCs w:val="28"/>
          <w:highlight w:val="none"/>
          <w:lang w:val="en-US" w:eastAsia="zh-CN"/>
        </w:rPr>
        <w:t>服务内容：</w:t>
      </w:r>
      <w:r>
        <w:rPr>
          <w:rFonts w:hint="eastAsia" w:ascii="仿宋" w:hAnsi="仿宋" w:eastAsia="仿宋"/>
          <w:b w:val="0"/>
          <w:bCs w:val="0"/>
          <w:sz w:val="28"/>
          <w:szCs w:val="28"/>
          <w:highlight w:val="none"/>
          <w:lang w:val="en-US" w:eastAsia="zh-CN"/>
        </w:rPr>
        <w:t>针对</w:t>
      </w:r>
      <w:r>
        <w:rPr>
          <w:rFonts w:hint="eastAsia" w:ascii="仿宋" w:hAnsi="仿宋" w:eastAsia="仿宋"/>
          <w:sz w:val="28"/>
          <w:szCs w:val="28"/>
          <w:highlight w:val="none"/>
          <w:lang w:val="en-US" w:eastAsia="zh-CN"/>
        </w:rPr>
        <w:t>标准维保及远程支持无法覆盖的复杂技术事项，包括内核级别故障、应用产品复杂兼容问题解决、生产环境业务中断故障的现场应急处置、紧急救援等。</w:t>
      </w:r>
    </w:p>
    <w:p w14:paraId="6D41B7E2">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highlight w:val="none"/>
          <w:lang w:val="en-US" w:eastAsia="zh-CN"/>
        </w:rPr>
      </w:pPr>
      <w:r>
        <w:rPr>
          <w:rFonts w:hint="eastAsia" w:ascii="仿宋" w:hAnsi="仿宋" w:eastAsia="仿宋"/>
          <w:b/>
          <w:bCs/>
          <w:sz w:val="28"/>
          <w:szCs w:val="28"/>
          <w:highlight w:val="none"/>
          <w:lang w:val="en-US" w:eastAsia="zh-CN"/>
        </w:rPr>
        <w:t>服务方案要求：</w:t>
      </w:r>
      <w:r>
        <w:rPr>
          <w:rFonts w:hint="eastAsia" w:ascii="仿宋" w:hAnsi="仿宋" w:eastAsia="仿宋"/>
          <w:sz w:val="28"/>
          <w:szCs w:val="28"/>
          <w:highlight w:val="none"/>
        </w:rPr>
        <w:t>到达现场后</w:t>
      </w:r>
      <w:r>
        <w:rPr>
          <w:rFonts w:hint="eastAsia" w:ascii="仿宋" w:hAnsi="仿宋" w:eastAsia="仿宋"/>
          <w:sz w:val="28"/>
          <w:szCs w:val="28"/>
          <w:highlight w:val="none"/>
          <w:lang w:eastAsia="zh-CN"/>
        </w:rPr>
        <w:t>对上述</w:t>
      </w:r>
      <w:r>
        <w:rPr>
          <w:rFonts w:hint="eastAsia" w:ascii="仿宋" w:hAnsi="仿宋" w:eastAsia="仿宋"/>
          <w:sz w:val="28"/>
          <w:szCs w:val="28"/>
          <w:highlight w:val="none"/>
        </w:rPr>
        <w:t>故障</w:t>
      </w:r>
      <w:r>
        <w:rPr>
          <w:rFonts w:hint="eastAsia" w:ascii="仿宋" w:hAnsi="仿宋" w:eastAsia="仿宋"/>
          <w:sz w:val="28"/>
          <w:szCs w:val="28"/>
          <w:highlight w:val="none"/>
          <w:lang w:eastAsia="zh-CN"/>
        </w:rPr>
        <w:t>、问题</w:t>
      </w:r>
      <w:r>
        <w:rPr>
          <w:rFonts w:hint="eastAsia" w:ascii="仿宋" w:hAnsi="仿宋" w:eastAsia="仿宋"/>
          <w:sz w:val="28"/>
          <w:szCs w:val="28"/>
          <w:highlight w:val="none"/>
        </w:rPr>
        <w:t>信息收集、环境快照保存、日志初步分析，并向采购</w:t>
      </w:r>
      <w:r>
        <w:rPr>
          <w:rFonts w:hint="eastAsia" w:ascii="仿宋" w:hAnsi="仿宋" w:eastAsia="仿宋"/>
          <w:sz w:val="28"/>
          <w:szCs w:val="28"/>
          <w:highlight w:val="none"/>
          <w:lang w:eastAsia="zh-CN"/>
        </w:rPr>
        <w:t>人</w:t>
      </w:r>
      <w:r>
        <w:rPr>
          <w:rFonts w:hint="eastAsia" w:ascii="仿宋" w:hAnsi="仿宋" w:eastAsia="仿宋"/>
          <w:sz w:val="28"/>
          <w:szCs w:val="28"/>
          <w:highlight w:val="none"/>
        </w:rPr>
        <w:t>口头汇报诊断方向。诊断完成后出具书面的技术处置方案，包含根因分析、操作步骤、预期效果、回退方案及风险评估，须经采购人书面确认后方可执行</w:t>
      </w:r>
      <w:r>
        <w:rPr>
          <w:rFonts w:hint="eastAsia" w:ascii="仿宋" w:hAnsi="仿宋" w:eastAsia="仿宋"/>
          <w:sz w:val="28"/>
          <w:szCs w:val="28"/>
          <w:highlight w:val="none"/>
          <w:lang w:eastAsia="zh-CN"/>
        </w:rPr>
        <w:t>，</w:t>
      </w:r>
      <w:r>
        <w:rPr>
          <w:rFonts w:hint="eastAsia" w:ascii="仿宋" w:hAnsi="仿宋" w:eastAsia="仿宋"/>
          <w:sz w:val="28"/>
          <w:szCs w:val="28"/>
          <w:highlight w:val="none"/>
        </w:rPr>
        <w:t>全程记录操作日志。</w:t>
      </w:r>
    </w:p>
    <w:p w14:paraId="2320E2FF">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highlight w:val="none"/>
          <w:lang w:val="en-US" w:eastAsia="zh-CN"/>
        </w:rPr>
      </w:pPr>
      <w:r>
        <w:rPr>
          <w:rFonts w:hint="eastAsia" w:ascii="仿宋" w:hAnsi="仿宋" w:eastAsia="仿宋"/>
          <w:b/>
          <w:bCs/>
          <w:sz w:val="28"/>
          <w:szCs w:val="28"/>
          <w:lang w:val="en-US" w:eastAsia="zh-CN"/>
        </w:rPr>
        <w:t>4.售后服务要求：</w:t>
      </w:r>
      <w:r>
        <w:rPr>
          <w:rFonts w:hint="eastAsia" w:ascii="仿宋" w:hAnsi="仿宋" w:eastAsia="仿宋"/>
          <w:sz w:val="28"/>
          <w:szCs w:val="28"/>
          <w:highlight w:val="none"/>
          <w:lang w:val="en-US" w:eastAsia="zh-CN"/>
        </w:rPr>
        <w:t>每次售后服务（含远程支持和现场支持）结束后，供应商须向采购人提交售后服务报告，内容应包含服务内容、处理过程、解决方案、根因分析及预防措施建议。</w:t>
      </w:r>
    </w:p>
    <w:p w14:paraId="2A37BD0B">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highlight w:val="none"/>
          <w:lang w:val="en-US" w:eastAsia="zh-CN"/>
        </w:rPr>
      </w:pPr>
      <w:r>
        <w:rPr>
          <w:rFonts w:hint="eastAsia" w:ascii="仿宋" w:hAnsi="仿宋" w:eastAsia="仿宋"/>
          <w:b/>
          <w:bCs/>
          <w:sz w:val="28"/>
          <w:szCs w:val="28"/>
          <w:highlight w:val="none"/>
          <w:lang w:val="en-US" w:eastAsia="zh-CN"/>
        </w:rPr>
        <w:t>5.服务团队要求：</w:t>
      </w:r>
      <w:r>
        <w:rPr>
          <w:rFonts w:hint="eastAsia" w:ascii="仿宋" w:hAnsi="仿宋" w:eastAsia="仿宋"/>
          <w:sz w:val="28"/>
          <w:szCs w:val="28"/>
          <w:highlight w:val="none"/>
          <w:lang w:val="en-US" w:eastAsia="zh-CN"/>
        </w:rPr>
        <w:t>团队至少包含1名项目经理、1名技术工程师，并提供联系方式。工程师应具备麒麟服务器操作系统相关技术认证资质。</w:t>
      </w:r>
    </w:p>
    <w:p w14:paraId="34BE39BC">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具体内容以麒麟官方原厂服务说明为准。</w:t>
      </w:r>
    </w:p>
    <w:p w14:paraId="312BA89C">
      <w:pPr>
        <w:keepNext w:val="0"/>
        <w:keepLines w:val="0"/>
        <w:pageBreakBefore w:val="0"/>
        <w:kinsoku/>
        <w:wordWrap/>
        <w:overflowPunct/>
        <w:topLinePunct w:val="0"/>
        <w:autoSpaceDN/>
        <w:bidi w:val="0"/>
        <w:adjustRightInd/>
        <w:snapToGrid/>
        <w:spacing w:line="560" w:lineRule="exact"/>
        <w:rPr>
          <w:rFonts w:hint="eastAsia" w:ascii="仿宋" w:hAnsi="仿宋" w:eastAsia="仿宋" w:cstheme="minorBidi"/>
          <w:kern w:val="2"/>
          <w:sz w:val="28"/>
          <w:szCs w:val="28"/>
          <w:highlight w:val="yellow"/>
          <w:lang w:val="en-US" w:eastAsia="zh-CN" w:bidi="ar-SA"/>
        </w:rPr>
      </w:pPr>
    </w:p>
    <w:p w14:paraId="54EDE0CD">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cs="仿宋"/>
          <w:b/>
          <w:bCs w:val="0"/>
          <w:sz w:val="28"/>
          <w:szCs w:val="28"/>
          <w:lang w:val="en-US" w:eastAsia="zh-CN" w:bidi="ar"/>
        </w:rPr>
      </w:pPr>
      <w:r>
        <w:rPr>
          <w:rFonts w:hint="eastAsia" w:ascii="仿宋" w:hAnsi="仿宋" w:eastAsia="仿宋" w:cs="仿宋"/>
          <w:b/>
          <w:bCs w:val="0"/>
          <w:sz w:val="28"/>
          <w:szCs w:val="28"/>
          <w:lang w:val="en-US" w:eastAsia="zh-CN" w:bidi="ar"/>
        </w:rPr>
        <w:t>（二）商务要求</w:t>
      </w:r>
    </w:p>
    <w:p w14:paraId="3E0CC13C">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1.服务期限：</w:t>
      </w:r>
      <w:r>
        <w:rPr>
          <w:rFonts w:hint="eastAsia" w:ascii="仿宋" w:hAnsi="仿宋" w:eastAsia="仿宋" w:cs="仿宋"/>
          <w:kern w:val="2"/>
          <w:sz w:val="28"/>
          <w:szCs w:val="28"/>
          <w:highlight w:val="none"/>
          <w:lang w:val="en-US" w:eastAsia="zh-CN" w:bidi="ar-SA"/>
        </w:rPr>
        <w:t>3年，起始日期以合同双方约定之日起算</w:t>
      </w:r>
      <w:r>
        <w:rPr>
          <w:rFonts w:hint="eastAsia" w:ascii="仿宋" w:hAnsi="仿宋" w:eastAsia="仿宋"/>
          <w:sz w:val="28"/>
          <w:szCs w:val="28"/>
          <w:lang w:val="en-US" w:eastAsia="zh-CN"/>
        </w:rPr>
        <w:t>。</w:t>
      </w:r>
    </w:p>
    <w:p w14:paraId="6F3936E3">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cs="仿宋"/>
          <w:sz w:val="28"/>
          <w:szCs w:val="28"/>
          <w:highlight w:val="none"/>
          <w:lang w:val="en-US" w:eastAsia="zh-CN"/>
        </w:rPr>
      </w:pPr>
      <w:r>
        <w:rPr>
          <w:rFonts w:hint="eastAsia" w:ascii="仿宋" w:hAnsi="仿宋" w:eastAsia="仿宋"/>
          <w:sz w:val="28"/>
          <w:szCs w:val="28"/>
          <w:lang w:val="en-US" w:eastAsia="zh-CN"/>
        </w:rPr>
        <w:t>2.交付内容</w:t>
      </w:r>
      <w:r>
        <w:rPr>
          <w:rFonts w:hint="eastAsia" w:ascii="仿宋" w:hAnsi="仿宋" w:eastAsia="仿宋" w:cs="仿宋"/>
          <w:sz w:val="28"/>
          <w:szCs w:val="28"/>
          <w:highlight w:val="none"/>
          <w:lang w:val="en-US" w:eastAsia="zh-CN"/>
        </w:rPr>
        <w:t>：</w:t>
      </w:r>
      <w:r>
        <w:rPr>
          <w:rFonts w:hint="eastAsia" w:ascii="仿宋" w:hAnsi="仿宋" w:eastAsia="仿宋" w:cs="仿宋"/>
          <w:i w:val="0"/>
          <w:iCs w:val="0"/>
          <w:caps w:val="0"/>
          <w:spacing w:val="0"/>
          <w:sz w:val="28"/>
          <w:szCs w:val="28"/>
          <w:highlight w:val="none"/>
          <w:shd w:val="clear"/>
          <w:lang w:bidi="ar-SA"/>
        </w:rPr>
        <w:t>银河麒麟高级服务器操作系统V10</w:t>
      </w:r>
      <w:r>
        <w:rPr>
          <w:rFonts w:hint="eastAsia" w:ascii="仿宋" w:hAnsi="仿宋" w:eastAsia="仿宋" w:cs="仿宋"/>
          <w:i w:val="0"/>
          <w:iCs w:val="0"/>
          <w:caps w:val="0"/>
          <w:spacing w:val="0"/>
          <w:sz w:val="28"/>
          <w:szCs w:val="28"/>
          <w:highlight w:val="none"/>
          <w:shd w:val="clear"/>
          <w:lang w:eastAsia="zh-CN" w:bidi="ar-SA"/>
        </w:rPr>
        <w:t>、</w:t>
      </w:r>
      <w:r>
        <w:rPr>
          <w:rFonts w:hint="eastAsia" w:ascii="仿宋" w:hAnsi="仿宋" w:eastAsia="仿宋" w:cs="仿宋"/>
          <w:i w:val="0"/>
          <w:iCs w:val="0"/>
          <w:caps w:val="0"/>
          <w:spacing w:val="0"/>
          <w:sz w:val="28"/>
          <w:szCs w:val="28"/>
          <w:highlight w:val="none"/>
          <w:shd w:val="clear"/>
          <w:lang w:val="en-US" w:eastAsia="zh-CN" w:bidi="ar-SA"/>
        </w:rPr>
        <w:t>V11</w:t>
      </w:r>
      <w:r>
        <w:rPr>
          <w:rFonts w:hint="eastAsia" w:ascii="仿宋" w:hAnsi="仿宋" w:eastAsia="仿宋" w:cs="仿宋"/>
          <w:i w:val="0"/>
          <w:iCs w:val="0"/>
          <w:caps w:val="0"/>
          <w:spacing w:val="0"/>
          <w:sz w:val="28"/>
          <w:szCs w:val="28"/>
          <w:highlight w:val="none"/>
          <w:shd w:val="clear"/>
          <w:lang w:bidi="ar-SA"/>
        </w:rPr>
        <w:t>软件产品（含软件授权许可证）；原厂商出具的加盖麒麟软件有限公司公章的《原厂维保服务承诺函》；产品说明书及技术文档；</w:t>
      </w:r>
    </w:p>
    <w:p w14:paraId="5CD5D422">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3.交付地点：上海市杨高南路288号14楼。</w:t>
      </w:r>
    </w:p>
    <w:p w14:paraId="1608B5F3">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4.交付要求：合同签订后20个工作日内完成原厂维保服务采购。</w:t>
      </w:r>
    </w:p>
    <w:p w14:paraId="0BD80CE8">
      <w:pPr>
        <w:keepNext w:val="0"/>
        <w:keepLines w:val="0"/>
        <w:pageBreakBefore w:val="0"/>
        <w:kinsoku/>
        <w:wordWrap/>
        <w:overflowPunct/>
        <w:topLinePunct w:val="0"/>
        <w:autoSpaceDN/>
        <w:bidi w:val="0"/>
        <w:adjustRightInd/>
        <w:snapToGrid/>
        <w:spacing w:line="5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5.付款方式：</w:t>
      </w:r>
    </w:p>
    <w:p w14:paraId="214CD51B">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lang w:val="en-US" w:eastAsia="zh-CN"/>
        </w:rPr>
      </w:pPr>
      <w:r>
        <w:rPr>
          <w:rFonts w:hint="eastAsia" w:ascii="仿宋" w:hAnsi="仿宋" w:eastAsia="仿宋"/>
          <w:b/>
          <w:bCs/>
          <w:sz w:val="28"/>
          <w:szCs w:val="28"/>
          <w:lang w:val="en-US" w:eastAsia="zh-CN"/>
        </w:rPr>
        <w:t>第一笔</w:t>
      </w:r>
      <w:r>
        <w:rPr>
          <w:rFonts w:hint="eastAsia" w:ascii="仿宋" w:hAnsi="仿宋" w:eastAsia="仿宋"/>
          <w:sz w:val="28"/>
          <w:szCs w:val="28"/>
          <w:lang w:val="en-US" w:eastAsia="zh-CN"/>
        </w:rPr>
        <w:t>：到货</w:t>
      </w:r>
      <w:r>
        <w:rPr>
          <w:rFonts w:hint="eastAsia" w:ascii="仿宋" w:hAnsi="仿宋" w:eastAsia="仿宋" w:cs="Times New Roman"/>
          <w:sz w:val="28"/>
          <w:szCs w:val="28"/>
          <w:lang w:val="en-US" w:eastAsia="zh-CN"/>
        </w:rPr>
        <w:t>验收通过后</w:t>
      </w:r>
      <w:r>
        <w:rPr>
          <w:rFonts w:hint="eastAsia" w:ascii="仿宋" w:hAnsi="仿宋" w:eastAsia="仿宋" w:cstheme="minorBidi"/>
          <w:sz w:val="28"/>
          <w:szCs w:val="28"/>
          <w:lang w:val="en-US" w:eastAsia="zh-CN"/>
        </w:rPr>
        <w:t>（</w:t>
      </w:r>
      <w:r>
        <w:rPr>
          <w:rFonts w:hint="eastAsia" w:ascii="仿宋" w:hAnsi="仿宋" w:eastAsia="仿宋"/>
          <w:sz w:val="28"/>
          <w:szCs w:val="28"/>
        </w:rPr>
        <w:t>货物交付后1个月内</w:t>
      </w:r>
      <w:r>
        <w:rPr>
          <w:rFonts w:hint="eastAsia" w:ascii="仿宋" w:hAnsi="仿宋" w:eastAsia="仿宋" w:cstheme="minorBidi"/>
          <w:sz w:val="28"/>
          <w:szCs w:val="28"/>
          <w:lang w:val="en-US" w:eastAsia="zh-CN"/>
        </w:rPr>
        <w:t>），乙方提交合格发票，甲方在20个工作日内支付软件许可（含维保）总金</w:t>
      </w:r>
      <w:r>
        <w:rPr>
          <w:rFonts w:hint="eastAsia" w:ascii="仿宋" w:hAnsi="仿宋" w:eastAsia="仿宋" w:cs="Times New Roman"/>
          <w:sz w:val="28"/>
          <w:szCs w:val="28"/>
          <w:lang w:val="en-US" w:eastAsia="zh-CN"/>
        </w:rPr>
        <w:t>额的45%</w:t>
      </w:r>
      <w:r>
        <w:rPr>
          <w:rFonts w:hint="eastAsia" w:ascii="仿宋" w:hAnsi="仿宋" w:eastAsia="仿宋"/>
          <w:sz w:val="28"/>
          <w:szCs w:val="28"/>
          <w:lang w:val="en-US" w:eastAsia="zh-CN"/>
        </w:rPr>
        <w:t>。</w:t>
      </w:r>
    </w:p>
    <w:p w14:paraId="22F89083">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lang w:val="en-US" w:eastAsia="zh-CN"/>
        </w:rPr>
      </w:pPr>
      <w:r>
        <w:rPr>
          <w:rFonts w:hint="eastAsia" w:ascii="仿宋" w:hAnsi="仿宋" w:eastAsia="仿宋"/>
          <w:b/>
          <w:bCs/>
          <w:sz w:val="28"/>
          <w:szCs w:val="28"/>
          <w:lang w:val="en-US" w:eastAsia="zh-CN"/>
        </w:rPr>
        <w:t>第二笔</w:t>
      </w:r>
      <w:r>
        <w:rPr>
          <w:rFonts w:hint="eastAsia" w:ascii="仿宋" w:hAnsi="仿宋" w:eastAsia="仿宋"/>
          <w:sz w:val="28"/>
          <w:szCs w:val="28"/>
          <w:lang w:val="en-US" w:eastAsia="zh-CN"/>
        </w:rPr>
        <w:t>：初步</w:t>
      </w:r>
      <w:r>
        <w:rPr>
          <w:rFonts w:hint="eastAsia" w:ascii="仿宋" w:hAnsi="仿宋" w:eastAsia="仿宋" w:cs="Times New Roman"/>
          <w:sz w:val="28"/>
          <w:szCs w:val="28"/>
          <w:lang w:val="en-US" w:eastAsia="zh-CN"/>
        </w:rPr>
        <w:t>验收通过</w:t>
      </w:r>
      <w:r>
        <w:rPr>
          <w:rFonts w:hint="eastAsia" w:ascii="仿宋" w:hAnsi="仿宋" w:eastAsia="仿宋" w:cstheme="minorBidi"/>
          <w:sz w:val="28"/>
          <w:szCs w:val="28"/>
          <w:lang w:val="en-US" w:eastAsia="zh-CN"/>
        </w:rPr>
        <w:t>后（</w:t>
      </w:r>
      <w:r>
        <w:rPr>
          <w:rFonts w:hint="eastAsia" w:ascii="仿宋" w:hAnsi="仿宋" w:eastAsia="仿宋"/>
          <w:sz w:val="28"/>
          <w:szCs w:val="28"/>
        </w:rPr>
        <w:t>自到货验收合格之日起3个月后</w:t>
      </w:r>
      <w:r>
        <w:rPr>
          <w:rFonts w:hint="eastAsia" w:ascii="仿宋" w:hAnsi="仿宋" w:eastAsia="仿宋" w:cstheme="minorBidi"/>
          <w:sz w:val="28"/>
          <w:szCs w:val="28"/>
          <w:lang w:val="en-US" w:eastAsia="zh-CN"/>
        </w:rPr>
        <w:t>）</w:t>
      </w:r>
      <w:r>
        <w:rPr>
          <w:rFonts w:hint="eastAsia" w:ascii="仿宋" w:hAnsi="仿宋" w:eastAsia="仿宋"/>
          <w:sz w:val="28"/>
          <w:szCs w:val="28"/>
          <w:lang w:val="en-US" w:eastAsia="zh-CN"/>
        </w:rPr>
        <w:t>，</w:t>
      </w:r>
      <w:r>
        <w:rPr>
          <w:rFonts w:hint="eastAsia" w:ascii="仿宋" w:hAnsi="仿宋" w:eastAsia="仿宋" w:cstheme="minorBidi"/>
          <w:sz w:val="28"/>
          <w:szCs w:val="28"/>
          <w:lang w:val="en-US" w:eastAsia="zh-CN"/>
        </w:rPr>
        <w:t>乙方提交合格发票，甲方在20个工作日内支付软件许可（含维保）总金额的45%。</w:t>
      </w:r>
    </w:p>
    <w:p w14:paraId="3EA63813">
      <w:pPr>
        <w:keepNext w:val="0"/>
        <w:keepLines w:val="0"/>
        <w:pageBreakBefore w:val="0"/>
        <w:kinsoku/>
        <w:wordWrap/>
        <w:overflowPunct/>
        <w:topLinePunct w:val="0"/>
        <w:autoSpaceDN/>
        <w:bidi w:val="0"/>
        <w:adjustRightInd/>
        <w:snapToGrid/>
        <w:spacing w:line="560" w:lineRule="exact"/>
        <w:ind w:firstLine="562" w:firstLineChars="200"/>
        <w:rPr>
          <w:rFonts w:hint="eastAsia" w:ascii="仿宋" w:hAnsi="仿宋" w:eastAsia="仿宋"/>
          <w:sz w:val="28"/>
          <w:szCs w:val="28"/>
          <w:lang w:val="en-US" w:eastAsia="zh-CN"/>
        </w:rPr>
      </w:pPr>
      <w:r>
        <w:rPr>
          <w:rFonts w:hint="eastAsia" w:ascii="仿宋" w:hAnsi="仿宋" w:eastAsia="仿宋"/>
          <w:b/>
          <w:bCs/>
          <w:sz w:val="28"/>
          <w:szCs w:val="28"/>
          <w:lang w:val="en-US" w:eastAsia="zh-CN"/>
        </w:rPr>
        <w:t>第三笔</w:t>
      </w:r>
      <w:r>
        <w:rPr>
          <w:rFonts w:hint="eastAsia" w:ascii="仿宋" w:hAnsi="仿宋" w:eastAsia="仿宋"/>
          <w:sz w:val="28"/>
          <w:szCs w:val="28"/>
          <w:lang w:val="en-US" w:eastAsia="zh-CN"/>
        </w:rPr>
        <w:t>：最终</w:t>
      </w:r>
      <w:r>
        <w:rPr>
          <w:rFonts w:hint="eastAsia" w:ascii="仿宋" w:hAnsi="仿宋" w:eastAsia="仿宋" w:cs="Times New Roman"/>
          <w:sz w:val="28"/>
          <w:szCs w:val="28"/>
          <w:lang w:val="en-US" w:eastAsia="zh-CN"/>
        </w:rPr>
        <w:t>验收通过后（</w:t>
      </w:r>
      <w:r>
        <w:rPr>
          <w:rFonts w:hint="eastAsia" w:ascii="仿宋" w:hAnsi="仿宋" w:eastAsia="仿宋"/>
          <w:sz w:val="28"/>
          <w:szCs w:val="28"/>
          <w:lang w:val="en-US" w:eastAsia="zh-CN"/>
        </w:rPr>
        <w:t>3年</w:t>
      </w:r>
      <w:r>
        <w:rPr>
          <w:rFonts w:hint="eastAsia" w:ascii="仿宋" w:hAnsi="仿宋" w:eastAsia="仿宋"/>
          <w:sz w:val="28"/>
          <w:szCs w:val="28"/>
          <w:lang w:eastAsia="zh-CN"/>
        </w:rPr>
        <w:t>维保到期后</w:t>
      </w:r>
      <w:r>
        <w:rPr>
          <w:rFonts w:hint="eastAsia" w:ascii="仿宋" w:hAnsi="仿宋" w:eastAsia="仿宋" w:cstheme="minorBidi"/>
          <w:sz w:val="28"/>
          <w:szCs w:val="28"/>
          <w:lang w:val="en-US" w:eastAsia="zh-CN"/>
        </w:rPr>
        <w:t>）</w:t>
      </w:r>
      <w:r>
        <w:rPr>
          <w:rFonts w:hint="eastAsia" w:ascii="仿宋" w:hAnsi="仿宋" w:eastAsia="仿宋"/>
          <w:sz w:val="28"/>
          <w:szCs w:val="28"/>
          <w:lang w:val="en-US" w:eastAsia="zh-CN"/>
        </w:rPr>
        <w:t>，</w:t>
      </w:r>
      <w:r>
        <w:rPr>
          <w:rFonts w:hint="eastAsia" w:ascii="仿宋" w:hAnsi="仿宋" w:eastAsia="仿宋" w:cstheme="minorBidi"/>
          <w:sz w:val="28"/>
          <w:szCs w:val="28"/>
          <w:lang w:val="en-US" w:eastAsia="zh-CN"/>
        </w:rPr>
        <w:t>乙方提交合格发票，甲方在20个工作日内支付</w:t>
      </w:r>
      <w:r>
        <w:rPr>
          <w:rFonts w:hint="eastAsia" w:ascii="仿宋" w:hAnsi="仿宋" w:eastAsia="仿宋"/>
          <w:sz w:val="28"/>
          <w:szCs w:val="28"/>
          <w:lang w:val="en-US" w:eastAsia="zh-CN"/>
        </w:rPr>
        <w:t>软件许可（含维保）总金额的10%以及原厂人天技术支持服务费用。</w:t>
      </w:r>
    </w:p>
    <w:p w14:paraId="57964148">
      <w:pPr>
        <w:keepNext w:val="0"/>
        <w:keepLines w:val="0"/>
        <w:pageBreakBefore w:val="0"/>
        <w:kinsoku/>
        <w:wordWrap/>
        <w:overflowPunct/>
        <w:topLinePunct w:val="0"/>
        <w:autoSpaceDN/>
        <w:bidi w:val="0"/>
        <w:adjustRightInd/>
        <w:snapToGrid/>
        <w:spacing w:line="560" w:lineRule="exact"/>
        <w:ind w:firstLine="560" w:firstLineChars="200"/>
        <w:rPr>
          <w:rFonts w:hint="default" w:ascii="仿宋" w:hAnsi="仿宋" w:eastAsia="仿宋" w:cs="仿宋"/>
          <w:sz w:val="28"/>
          <w:szCs w:val="28"/>
          <w:lang w:val="en-US" w:eastAsia="zh-CN" w:bidi="ar"/>
        </w:rPr>
      </w:pPr>
      <w:r>
        <w:rPr>
          <w:rFonts w:hint="eastAsia" w:ascii="仿宋" w:hAnsi="仿宋" w:eastAsia="仿宋" w:cs="仿宋"/>
          <w:sz w:val="28"/>
          <w:szCs w:val="28"/>
          <w:lang w:val="en-US" w:eastAsia="zh-CN" w:bidi="ar"/>
        </w:rPr>
        <w:t>6.报价要求：</w:t>
      </w:r>
      <w:r>
        <w:rPr>
          <w:rFonts w:hint="eastAsia" w:ascii="仿宋" w:hAnsi="仿宋" w:eastAsia="仿宋" w:cs="Times New Roman"/>
          <w:sz w:val="28"/>
          <w:szCs w:val="28"/>
          <w:lang w:val="en-US" w:eastAsia="zh-CN"/>
        </w:rPr>
        <w:t>根据采购内容所列3项采购内容提供分项报价（原厂人天技术支持服务需提供1人天单价，并按5人天计算报价），项目最高限价55.9万,报价不得超过最高限价。</w:t>
      </w:r>
    </w:p>
    <w:p w14:paraId="2EF1599B">
      <w:pPr>
        <w:keepNext w:val="0"/>
        <w:keepLines w:val="0"/>
        <w:pageBreakBefore w:val="0"/>
        <w:kinsoku/>
        <w:wordWrap/>
        <w:overflowPunct/>
        <w:topLinePunct w:val="0"/>
        <w:autoSpaceDN/>
        <w:bidi w:val="0"/>
        <w:adjustRightInd/>
        <w:snapToGrid/>
        <w:spacing w:line="560" w:lineRule="exact"/>
        <w:ind w:firstLine="560" w:firstLineChars="200"/>
        <w:rPr>
          <w:rFonts w:hint="eastAsia" w:ascii="仿宋" w:hAnsi="仿宋" w:eastAsia="仿宋" w:cs="Times New Roman"/>
          <w:kern w:val="2"/>
          <w:sz w:val="32"/>
          <w:szCs w:val="32"/>
          <w:lang w:val="en-US" w:eastAsia="zh-CN" w:bidi="ar-SA"/>
        </w:rPr>
      </w:pPr>
      <w:r>
        <w:rPr>
          <w:rFonts w:hint="eastAsia" w:ascii="仿宋" w:hAnsi="仿宋" w:eastAsia="仿宋" w:cs="仿宋"/>
          <w:sz w:val="28"/>
          <w:szCs w:val="28"/>
          <w:lang w:val="en-US" w:eastAsia="zh-CN" w:bidi="ar"/>
        </w:rPr>
        <w:t>7.供应商要求：</w:t>
      </w:r>
      <w:r>
        <w:rPr>
          <w:rFonts w:hint="eastAsia" w:ascii="仿宋" w:hAnsi="仿宋" w:eastAsia="仿宋" w:cs="Times New Roman"/>
          <w:kern w:val="2"/>
          <w:sz w:val="28"/>
          <w:szCs w:val="28"/>
          <w:lang w:val="en-US" w:eastAsia="zh-CN" w:bidi="ar-SA"/>
        </w:rPr>
        <w:t>本项目不接受联合体参与，不得转包。</w:t>
      </w:r>
    </w:p>
    <w:p w14:paraId="49837873">
      <w:pPr>
        <w:keepNext w:val="0"/>
        <w:keepLines w:val="0"/>
        <w:pageBreakBefore w:val="0"/>
        <w:kinsoku/>
        <w:wordWrap/>
        <w:overflowPunct/>
        <w:topLinePunct w:val="0"/>
        <w:autoSpaceDN/>
        <w:bidi w:val="0"/>
        <w:adjustRightInd/>
        <w:snapToGrid/>
        <w:spacing w:line="560" w:lineRule="exact"/>
        <w:ind w:firstLine="640" w:firstLineChars="200"/>
        <w:rPr>
          <w:rFonts w:hint="eastAsia" w:ascii="仿宋" w:hAnsi="仿宋" w:eastAsia="仿宋" w:cs="Times New Roman"/>
          <w:kern w:val="2"/>
          <w:sz w:val="32"/>
          <w:szCs w:val="32"/>
          <w:lang w:val="en-US" w:eastAsia="zh-CN" w:bidi="ar-SA"/>
        </w:rPr>
      </w:pPr>
    </w:p>
    <w:p w14:paraId="4BBE8AB0">
      <w:pPr>
        <w:pStyle w:val="20"/>
        <w:keepNext w:val="0"/>
        <w:keepLines w:val="0"/>
        <w:pageBreakBefore w:val="0"/>
        <w:widowControl/>
        <w:numPr>
          <w:ilvl w:val="0"/>
          <w:numId w:val="1"/>
        </w:numPr>
        <w:kinsoku/>
        <w:wordWrap/>
        <w:overflowPunct/>
        <w:topLinePunct w:val="0"/>
        <w:autoSpaceDN/>
        <w:bidi w:val="0"/>
        <w:adjustRightInd/>
        <w:snapToGrid/>
        <w:spacing w:line="560" w:lineRule="exact"/>
        <w:ind w:firstLineChars="0"/>
        <w:jc w:val="center"/>
        <w:outlineLvl w:val="0"/>
        <w:rPr>
          <w:rFonts w:hint="eastAsia" w:ascii="黑体" w:hAnsi="黑体" w:eastAsia="黑体" w:cs="黑体"/>
          <w:b/>
          <w:sz w:val="32"/>
          <w:szCs w:val="32"/>
          <w:highlight w:val="none"/>
        </w:rPr>
      </w:pPr>
      <w:bookmarkStart w:id="7" w:name="_Toc23559"/>
      <w:r>
        <w:rPr>
          <w:rFonts w:hint="eastAsia" w:ascii="黑体" w:hAnsi="黑体" w:eastAsia="黑体" w:cs="黑体"/>
          <w:b/>
          <w:sz w:val="32"/>
          <w:szCs w:val="32"/>
          <w:highlight w:val="none"/>
        </w:rPr>
        <w:t>供应商须知</w:t>
      </w:r>
      <w:bookmarkEnd w:id="7"/>
    </w:p>
    <w:p w14:paraId="3F743B50">
      <w:pPr>
        <w:pStyle w:val="20"/>
        <w:keepNext w:val="0"/>
        <w:keepLines w:val="0"/>
        <w:pageBreakBefore w:val="0"/>
        <w:widowControl/>
        <w:numPr>
          <w:ilvl w:val="0"/>
          <w:numId w:val="0"/>
        </w:numPr>
        <w:kinsoku/>
        <w:wordWrap/>
        <w:overflowPunct/>
        <w:topLinePunct w:val="0"/>
        <w:autoSpaceDN/>
        <w:bidi w:val="0"/>
        <w:adjustRightInd/>
        <w:snapToGrid/>
        <w:spacing w:line="560" w:lineRule="exact"/>
        <w:ind w:leftChars="0"/>
        <w:jc w:val="both"/>
        <w:outlineLvl w:val="0"/>
        <w:rPr>
          <w:rFonts w:hint="eastAsia" w:ascii="仿宋" w:hAnsi="仿宋" w:eastAsia="仿宋" w:cs="仿宋"/>
          <w:b/>
          <w:sz w:val="28"/>
          <w:szCs w:val="28"/>
          <w:highlight w:val="none"/>
        </w:rPr>
      </w:pPr>
    </w:p>
    <w:p w14:paraId="4CD4C946">
      <w:pPr>
        <w:pStyle w:val="20"/>
        <w:keepNext w:val="0"/>
        <w:keepLines w:val="0"/>
        <w:pageBreakBefore w:val="0"/>
        <w:widowControl/>
        <w:numPr>
          <w:ilvl w:val="0"/>
          <w:numId w:val="6"/>
        </w:numPr>
        <w:kinsoku/>
        <w:wordWrap/>
        <w:overflowPunct/>
        <w:topLinePunct w:val="0"/>
        <w:autoSpaceDN/>
        <w:bidi w:val="0"/>
        <w:adjustRightInd/>
        <w:snapToGrid/>
        <w:spacing w:line="560" w:lineRule="exact"/>
        <w:ind w:left="840" w:leftChars="0" w:firstLineChars="0"/>
        <w:outlineLvl w:val="1"/>
        <w:rPr>
          <w:rFonts w:hint="eastAsia" w:ascii="黑体" w:hAnsi="黑体" w:eastAsia="黑体" w:cs="黑体"/>
          <w:b/>
          <w:bCs/>
          <w:sz w:val="32"/>
          <w:szCs w:val="32"/>
          <w:highlight w:val="none"/>
        </w:rPr>
      </w:pPr>
      <w:bookmarkStart w:id="8" w:name="_Toc6109"/>
      <w:r>
        <w:rPr>
          <w:rFonts w:hint="eastAsia" w:ascii="黑体" w:hAnsi="黑体" w:eastAsia="黑体" w:cs="黑体"/>
          <w:b/>
          <w:bCs/>
          <w:sz w:val="32"/>
          <w:szCs w:val="32"/>
          <w:highlight w:val="none"/>
        </w:rPr>
        <w:t>供应商资格</w:t>
      </w:r>
      <w:bookmarkEnd w:id="8"/>
    </w:p>
    <w:p w14:paraId="1279DA7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napToGrid/>
        <w:spacing w:before="0" w:beforeAutospacing="0" w:after="0" w:afterAutospacing="0" w:line="560" w:lineRule="exact"/>
        <w:ind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1.满足《中华人民共和国政府采购法》第二十二条规定。</w:t>
      </w:r>
    </w:p>
    <w:p w14:paraId="659C187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napToGrid/>
        <w:spacing w:before="0" w:beforeAutospacing="0" w:after="0" w:afterAutospacing="0" w:line="560" w:lineRule="exact"/>
        <w:ind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2.参与供应商应为有效登记注册的独立企业法人，需提供有效营业执照。</w:t>
      </w:r>
    </w:p>
    <w:p w14:paraId="389CF9A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napToGrid/>
        <w:spacing w:before="0" w:beforeAutospacing="0" w:after="0" w:afterAutospacing="0" w:line="560" w:lineRule="exact"/>
        <w:ind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3.参与供应商近三年内，在经营活动中没有重大违法记录（重大违法记录指因违法经营受到刑事处罚或者责令停产停业、吊销许可证或者执照、较大数额罚款等行政处罚）。</w:t>
      </w:r>
    </w:p>
    <w:p w14:paraId="66DA38A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napToGrid/>
        <w:spacing w:before="0" w:beforeAutospacing="0" w:after="0" w:afterAutospacing="0" w:line="560" w:lineRule="exact"/>
        <w:ind w:right="0" w:firstLine="560" w:firstLineChars="200"/>
        <w:jc w:val="both"/>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4.参与供应商没有被国家企业信用信息公示系统列入严重违法失信企业名单（黑名单）信息；没有被中国执行信息公开网列入失信被执行人名单信息。</w:t>
      </w:r>
    </w:p>
    <w:p w14:paraId="317C14B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napToGrid/>
        <w:spacing w:before="0" w:beforeAutospacing="0" w:after="0" w:afterAutospacing="0" w:line="560" w:lineRule="exact"/>
        <w:ind w:right="0" w:firstLine="560" w:firstLineChars="200"/>
        <w:jc w:val="both"/>
        <w:rPr>
          <w:rFonts w:hint="default"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5.</w:t>
      </w:r>
      <w:r>
        <w:rPr>
          <w:rFonts w:hint="eastAsia" w:ascii="仿宋" w:hAnsi="仿宋" w:eastAsia="仿宋" w:cs="仿宋"/>
          <w:b/>
          <w:bCs/>
          <w:kern w:val="2"/>
          <w:sz w:val="28"/>
          <w:szCs w:val="28"/>
          <w:highlight w:val="none"/>
          <w:lang w:val="en-US" w:eastAsia="zh-CN" w:bidi="ar-SA"/>
        </w:rPr>
        <w:t>参与</w:t>
      </w:r>
      <w:r>
        <w:rPr>
          <w:rFonts w:hint="eastAsia" w:ascii="仿宋" w:hAnsi="仿宋" w:eastAsia="仿宋" w:cs="仿宋"/>
          <w:b/>
          <w:bCs/>
          <w:i w:val="0"/>
          <w:iCs w:val="0"/>
          <w:caps w:val="0"/>
          <w:color w:val="auto"/>
          <w:spacing w:val="0"/>
          <w:kern w:val="2"/>
          <w:sz w:val="28"/>
          <w:szCs w:val="28"/>
          <w:highlight w:val="none"/>
          <w:shd w:val="clear" w:color="auto" w:fill="auto"/>
          <w:lang w:val="en-US" w:eastAsia="zh-CN" w:bidi="ar-SA"/>
        </w:rPr>
        <w:t>供应商需提供麒麟软件有限公司针对本项目的《原厂授权书》及《原厂维保服务承诺书》。</w:t>
      </w:r>
    </w:p>
    <w:p w14:paraId="0AB06AFB">
      <w:pPr>
        <w:keepNext w:val="0"/>
        <w:keepLines w:val="0"/>
        <w:pageBreakBefore w:val="0"/>
        <w:widowControl/>
        <w:suppressLineNumbers w:val="0"/>
        <w:kinsoku/>
        <w:wordWrap/>
        <w:overflowPunct/>
        <w:topLinePunct w:val="0"/>
        <w:autoSpaceDN/>
        <w:bidi w:val="0"/>
        <w:adjustRightInd/>
        <w:snapToGrid/>
        <w:spacing w:line="560" w:lineRule="exact"/>
        <w:ind w:firstLine="562" w:firstLineChars="200"/>
        <w:jc w:val="left"/>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以上第一至第四项资格要求如无法提供具体证明材料的，需对此作出书面承诺并加盖公章。</w:t>
      </w:r>
    </w:p>
    <w:p w14:paraId="1549BBDA">
      <w:pPr>
        <w:pStyle w:val="20"/>
        <w:keepNext w:val="0"/>
        <w:keepLines w:val="0"/>
        <w:pageBreakBefore w:val="0"/>
        <w:widowControl/>
        <w:numPr>
          <w:ilvl w:val="0"/>
          <w:numId w:val="6"/>
        </w:numPr>
        <w:kinsoku/>
        <w:wordWrap/>
        <w:overflowPunct/>
        <w:topLinePunct w:val="0"/>
        <w:autoSpaceDN/>
        <w:bidi w:val="0"/>
        <w:adjustRightInd/>
        <w:snapToGrid/>
        <w:spacing w:line="560" w:lineRule="exact"/>
        <w:ind w:left="840" w:leftChars="0" w:firstLineChars="0"/>
        <w:outlineLvl w:val="1"/>
        <w:rPr>
          <w:rFonts w:hint="eastAsia" w:ascii="黑体" w:hAnsi="黑体" w:eastAsia="黑体" w:cs="黑体"/>
          <w:b/>
          <w:bCs/>
          <w:sz w:val="32"/>
          <w:szCs w:val="32"/>
          <w:highlight w:val="none"/>
        </w:rPr>
      </w:pPr>
      <w:bookmarkStart w:id="9" w:name="_Toc15794"/>
      <w:r>
        <w:rPr>
          <w:rFonts w:hint="eastAsia" w:ascii="黑体" w:hAnsi="黑体" w:eastAsia="黑体" w:cs="黑体"/>
          <w:b/>
          <w:bCs/>
          <w:sz w:val="32"/>
          <w:szCs w:val="32"/>
          <w:highlight w:val="none"/>
        </w:rPr>
        <w:t>竞争性磋商</w:t>
      </w:r>
      <w:bookmarkEnd w:id="9"/>
      <w:r>
        <w:rPr>
          <w:rFonts w:hint="eastAsia" w:ascii="黑体" w:hAnsi="黑体" w:eastAsia="黑体" w:cs="黑体"/>
          <w:b/>
          <w:bCs/>
          <w:sz w:val="32"/>
          <w:szCs w:val="32"/>
          <w:highlight w:val="none"/>
          <w:lang w:eastAsia="zh-CN"/>
        </w:rPr>
        <w:t>流程</w:t>
      </w:r>
    </w:p>
    <w:p w14:paraId="17999E09">
      <w:pPr>
        <w:pStyle w:val="20"/>
        <w:keepNext w:val="0"/>
        <w:keepLines w:val="0"/>
        <w:pageBreakBefore w:val="0"/>
        <w:widowControl/>
        <w:numPr>
          <w:ilvl w:val="0"/>
          <w:numId w:val="7"/>
        </w:numPr>
        <w:kinsoku/>
        <w:wordWrap/>
        <w:overflowPunct/>
        <w:topLinePunct w:val="0"/>
        <w:autoSpaceDN/>
        <w:bidi w:val="0"/>
        <w:adjustRightInd/>
        <w:snapToGrid/>
        <w:spacing w:line="560" w:lineRule="exact"/>
        <w:ind w:left="0" w:leftChars="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会议组织</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采购人负责召开竞争性磋商会议、谈判及评审工作。供应商委派代表参加磋商会议，向采购人介绍服务方案并进行</w:t>
      </w:r>
      <w:r>
        <w:rPr>
          <w:rFonts w:hint="eastAsia" w:ascii="仿宋" w:hAnsi="仿宋" w:eastAsia="仿宋" w:cs="仿宋"/>
          <w:sz w:val="28"/>
          <w:szCs w:val="28"/>
          <w:highlight w:val="none"/>
          <w:lang w:val="en-US" w:eastAsia="zh-CN"/>
        </w:rPr>
        <w:t>磋商</w:t>
      </w:r>
      <w:r>
        <w:rPr>
          <w:rFonts w:hint="eastAsia" w:ascii="仿宋" w:hAnsi="仿宋" w:eastAsia="仿宋" w:cs="仿宋"/>
          <w:sz w:val="28"/>
          <w:szCs w:val="28"/>
          <w:highlight w:val="none"/>
        </w:rPr>
        <w:t>。</w:t>
      </w:r>
    </w:p>
    <w:p w14:paraId="268867A4">
      <w:pPr>
        <w:pStyle w:val="20"/>
        <w:keepNext w:val="0"/>
        <w:keepLines w:val="0"/>
        <w:pageBreakBefore w:val="0"/>
        <w:widowControl/>
        <w:numPr>
          <w:ilvl w:val="0"/>
          <w:numId w:val="7"/>
        </w:numPr>
        <w:kinsoku/>
        <w:wordWrap/>
        <w:overflowPunct/>
        <w:topLinePunct w:val="0"/>
        <w:autoSpaceDN/>
        <w:bidi w:val="0"/>
        <w:adjustRightInd/>
        <w:snapToGrid/>
        <w:spacing w:line="560" w:lineRule="exact"/>
        <w:ind w:left="0" w:leftChars="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磋商原则</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采购人遵循公平、公正的原则进行磋商，采用同一程序和标准对供应商进行评估。</w:t>
      </w:r>
    </w:p>
    <w:p w14:paraId="7D1A9F1E">
      <w:pPr>
        <w:pStyle w:val="20"/>
        <w:keepNext w:val="0"/>
        <w:keepLines w:val="0"/>
        <w:pageBreakBefore w:val="0"/>
        <w:widowControl/>
        <w:numPr>
          <w:ilvl w:val="0"/>
          <w:numId w:val="7"/>
        </w:numPr>
        <w:kinsoku/>
        <w:wordWrap/>
        <w:overflowPunct/>
        <w:topLinePunct w:val="0"/>
        <w:autoSpaceDN/>
        <w:bidi w:val="0"/>
        <w:adjustRightInd/>
        <w:snapToGrid/>
        <w:spacing w:line="560" w:lineRule="exact"/>
        <w:ind w:left="0" w:leftChars="0"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sz w:val="28"/>
          <w:szCs w:val="28"/>
          <w:highlight w:val="none"/>
        </w:rPr>
        <w:t>评审方法</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采购方与符合资格条件的供应商进行磋商，供应商按照磋商文件的要求提交响应文件和最终报价，采购小组经综合评分后确定得分最高的第一名为成交供应商</w:t>
      </w:r>
      <w:r>
        <w:rPr>
          <w:rFonts w:hint="eastAsia" w:ascii="仿宋" w:hAnsi="仿宋" w:eastAsia="仿宋" w:cs="仿宋"/>
          <w:sz w:val="28"/>
          <w:szCs w:val="28"/>
          <w:highlight w:val="none"/>
        </w:rPr>
        <w:t>。</w:t>
      </w:r>
    </w:p>
    <w:p w14:paraId="605C7F2F">
      <w:pPr>
        <w:pStyle w:val="20"/>
        <w:keepNext w:val="0"/>
        <w:keepLines w:val="0"/>
        <w:pageBreakBefore w:val="0"/>
        <w:widowControl/>
        <w:numPr>
          <w:ilvl w:val="-1"/>
          <w:numId w:val="0"/>
        </w:numPr>
        <w:kinsoku/>
        <w:wordWrap/>
        <w:overflowPunct/>
        <w:topLinePunct w:val="0"/>
        <w:autoSpaceDN/>
        <w:bidi w:val="0"/>
        <w:adjustRightInd/>
        <w:snapToGrid/>
        <w:spacing w:line="560" w:lineRule="exact"/>
        <w:ind w:left="420" w:leftChars="200" w:firstLine="0" w:firstLineChars="0"/>
        <w:rPr>
          <w:rFonts w:hint="default" w:ascii="仿宋" w:hAnsi="仿宋" w:eastAsia="仿宋" w:cs="仿宋"/>
          <w:color w:val="auto"/>
          <w:sz w:val="28"/>
          <w:szCs w:val="28"/>
          <w:highlight w:val="none"/>
          <w:lang w:val="en-US" w:eastAsia="zh-CN"/>
        </w:rPr>
      </w:pPr>
    </w:p>
    <w:p w14:paraId="0DDFCF28">
      <w:pPr>
        <w:pStyle w:val="20"/>
        <w:keepNext w:val="0"/>
        <w:keepLines w:val="0"/>
        <w:pageBreakBefore w:val="0"/>
        <w:widowControl/>
        <w:numPr>
          <w:ilvl w:val="0"/>
          <w:numId w:val="1"/>
        </w:numPr>
        <w:kinsoku/>
        <w:wordWrap/>
        <w:overflowPunct/>
        <w:topLinePunct w:val="0"/>
        <w:autoSpaceDN/>
        <w:bidi w:val="0"/>
        <w:adjustRightInd/>
        <w:snapToGrid/>
        <w:spacing w:line="560" w:lineRule="exact"/>
        <w:ind w:firstLineChars="0"/>
        <w:jc w:val="center"/>
        <w:outlineLvl w:val="0"/>
        <w:rPr>
          <w:rFonts w:hint="eastAsia" w:ascii="仿宋" w:hAnsi="仿宋" w:eastAsia="仿宋" w:cs="仿宋"/>
          <w:b/>
          <w:sz w:val="28"/>
          <w:szCs w:val="28"/>
          <w:highlight w:val="none"/>
        </w:rPr>
      </w:pPr>
      <w:bookmarkStart w:id="10" w:name="_Toc11603"/>
      <w:r>
        <w:rPr>
          <w:rFonts w:hint="eastAsia" w:ascii="黑体" w:hAnsi="黑体" w:eastAsia="黑体" w:cs="黑体"/>
          <w:b/>
          <w:sz w:val="32"/>
          <w:szCs w:val="32"/>
          <w:highlight w:val="none"/>
        </w:rPr>
        <w:t>响应文件要求</w:t>
      </w:r>
      <w:bookmarkEnd w:id="10"/>
    </w:p>
    <w:p w14:paraId="28D82EFA">
      <w:pPr>
        <w:pStyle w:val="20"/>
        <w:keepNext w:val="0"/>
        <w:keepLines w:val="0"/>
        <w:pageBreakBefore w:val="0"/>
        <w:widowControl/>
        <w:numPr>
          <w:ilvl w:val="-1"/>
          <w:numId w:val="0"/>
        </w:numPr>
        <w:kinsoku/>
        <w:wordWrap/>
        <w:overflowPunct/>
        <w:topLinePunct w:val="0"/>
        <w:autoSpaceDN/>
        <w:bidi w:val="0"/>
        <w:adjustRightInd/>
        <w:snapToGrid/>
        <w:spacing w:line="560" w:lineRule="exact"/>
        <w:ind w:left="0" w:firstLine="0" w:firstLineChars="0"/>
        <w:jc w:val="both"/>
        <w:outlineLvl w:val="0"/>
        <w:rPr>
          <w:rFonts w:hint="eastAsia" w:ascii="仿宋" w:hAnsi="仿宋" w:eastAsia="仿宋" w:cs="仿宋"/>
          <w:b/>
          <w:sz w:val="28"/>
          <w:szCs w:val="28"/>
          <w:highlight w:val="none"/>
        </w:rPr>
      </w:pPr>
    </w:p>
    <w:p w14:paraId="7F322B44">
      <w:pPr>
        <w:pStyle w:val="20"/>
        <w:keepNext w:val="0"/>
        <w:keepLines w:val="0"/>
        <w:pageBreakBefore w:val="0"/>
        <w:numPr>
          <w:ilvl w:val="0"/>
          <w:numId w:val="8"/>
        </w:numPr>
        <w:kinsoku/>
        <w:wordWrap/>
        <w:overflowPunct/>
        <w:topLinePunct w:val="0"/>
        <w:autoSpaceDN/>
        <w:bidi w:val="0"/>
        <w:adjustRightInd/>
        <w:snapToGrid/>
        <w:spacing w:line="560" w:lineRule="exact"/>
        <w:ind w:left="840" w:leftChars="0" w:firstLineChars="0"/>
        <w:outlineLvl w:val="1"/>
        <w:rPr>
          <w:rFonts w:hint="eastAsia" w:ascii="黑体" w:hAnsi="黑体" w:eastAsia="黑体" w:cs="黑体"/>
          <w:b/>
          <w:bCs/>
          <w:sz w:val="32"/>
          <w:szCs w:val="32"/>
          <w:highlight w:val="none"/>
        </w:rPr>
      </w:pPr>
      <w:bookmarkStart w:id="11" w:name="_Toc21217"/>
      <w:r>
        <w:rPr>
          <w:rFonts w:hint="eastAsia" w:ascii="黑体" w:hAnsi="黑体" w:eastAsia="黑体" w:cs="黑体"/>
          <w:b/>
          <w:bCs/>
          <w:sz w:val="32"/>
          <w:szCs w:val="32"/>
          <w:highlight w:val="none"/>
        </w:rPr>
        <w:t>响应文件编制</w:t>
      </w:r>
      <w:bookmarkEnd w:id="11"/>
    </w:p>
    <w:p w14:paraId="7C530679">
      <w:pPr>
        <w:pStyle w:val="20"/>
        <w:keepNext w:val="0"/>
        <w:keepLines w:val="0"/>
        <w:pageBreakBefore w:val="0"/>
        <w:numPr>
          <w:ilvl w:val="0"/>
          <w:numId w:val="9"/>
        </w:numPr>
        <w:kinsoku/>
        <w:wordWrap/>
        <w:overflowPunct/>
        <w:topLinePunct w:val="0"/>
        <w:autoSpaceDN/>
        <w:bidi w:val="0"/>
        <w:adjustRightInd/>
        <w:snapToGrid/>
        <w:spacing w:line="560" w:lineRule="exact"/>
        <w:ind w:left="840" w:leftChars="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供应商响应文件需包含以下部分：</w:t>
      </w:r>
    </w:p>
    <w:p w14:paraId="7A531C5C">
      <w:pPr>
        <w:pStyle w:val="20"/>
        <w:keepNext w:val="0"/>
        <w:keepLines w:val="0"/>
        <w:pageBreakBefore w:val="0"/>
        <w:numPr>
          <w:ilvl w:val="0"/>
          <w:numId w:val="10"/>
        </w:numPr>
        <w:kinsoku/>
        <w:wordWrap/>
        <w:overflowPunct/>
        <w:topLinePunct w:val="0"/>
        <w:autoSpaceDN/>
        <w:bidi w:val="0"/>
        <w:adjustRightInd/>
        <w:snapToGrid/>
        <w:spacing w:line="560" w:lineRule="exact"/>
        <w:ind w:left="840" w:leftChars="0" w:hanging="42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根据第</w:t>
      </w:r>
      <w:r>
        <w:rPr>
          <w:rFonts w:hint="eastAsia" w:ascii="仿宋" w:hAnsi="仿宋" w:eastAsia="仿宋" w:cs="仿宋"/>
          <w:sz w:val="28"/>
          <w:szCs w:val="28"/>
          <w:highlight w:val="none"/>
          <w:lang w:eastAsia="zh-CN"/>
        </w:rPr>
        <w:t>二</w:t>
      </w:r>
      <w:r>
        <w:rPr>
          <w:rFonts w:hint="eastAsia" w:ascii="仿宋" w:hAnsi="仿宋" w:eastAsia="仿宋" w:cs="仿宋"/>
          <w:sz w:val="28"/>
          <w:szCs w:val="28"/>
          <w:highlight w:val="none"/>
        </w:rPr>
        <w:t>章</w:t>
      </w:r>
      <w:r>
        <w:rPr>
          <w:rFonts w:hint="eastAsia" w:ascii="仿宋" w:hAnsi="仿宋" w:eastAsia="仿宋" w:cs="仿宋"/>
          <w:sz w:val="28"/>
          <w:szCs w:val="28"/>
          <w:highlight w:val="none"/>
          <w:lang w:val="en-US" w:eastAsia="zh-CN"/>
        </w:rPr>
        <w:t>采购内容及要求，逐项应答偏离情况。</w:t>
      </w:r>
    </w:p>
    <w:p w14:paraId="2C0DF74A">
      <w:pPr>
        <w:pStyle w:val="20"/>
        <w:keepNext w:val="0"/>
        <w:keepLines w:val="0"/>
        <w:pageBreakBefore w:val="0"/>
        <w:numPr>
          <w:ilvl w:val="0"/>
          <w:numId w:val="10"/>
        </w:numPr>
        <w:kinsoku/>
        <w:wordWrap/>
        <w:overflowPunct/>
        <w:topLinePunct w:val="0"/>
        <w:autoSpaceDN/>
        <w:bidi w:val="0"/>
        <w:adjustRightInd/>
        <w:snapToGrid/>
        <w:spacing w:line="560" w:lineRule="exact"/>
        <w:ind w:left="840" w:leftChars="0" w:hanging="42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根据第</w:t>
      </w:r>
      <w:r>
        <w:rPr>
          <w:rFonts w:hint="eastAsia" w:ascii="仿宋" w:hAnsi="仿宋" w:eastAsia="仿宋" w:cs="仿宋"/>
          <w:sz w:val="28"/>
          <w:szCs w:val="28"/>
          <w:highlight w:val="none"/>
          <w:lang w:val="en-US" w:eastAsia="zh-CN"/>
        </w:rPr>
        <w:t>三</w:t>
      </w:r>
      <w:r>
        <w:rPr>
          <w:rFonts w:hint="eastAsia" w:ascii="仿宋" w:hAnsi="仿宋" w:eastAsia="仿宋" w:cs="仿宋"/>
          <w:sz w:val="28"/>
          <w:szCs w:val="28"/>
          <w:highlight w:val="none"/>
        </w:rPr>
        <w:t>章</w:t>
      </w:r>
      <w:r>
        <w:rPr>
          <w:rFonts w:hint="eastAsia" w:ascii="仿宋" w:hAnsi="仿宋" w:eastAsia="仿宋" w:cs="仿宋"/>
          <w:sz w:val="28"/>
          <w:szCs w:val="28"/>
          <w:highlight w:val="none"/>
          <w:lang w:eastAsia="zh-CN"/>
        </w:rPr>
        <w:t>供应商须知，提供资格</w:t>
      </w:r>
      <w:r>
        <w:rPr>
          <w:rFonts w:hint="eastAsia" w:ascii="仿宋" w:hAnsi="仿宋" w:eastAsia="仿宋" w:cs="仿宋"/>
          <w:sz w:val="28"/>
          <w:szCs w:val="28"/>
          <w:highlight w:val="none"/>
          <w:lang w:val="en-US" w:eastAsia="zh-CN"/>
        </w:rPr>
        <w:t>证明材料。</w:t>
      </w:r>
    </w:p>
    <w:p w14:paraId="3677C160">
      <w:pPr>
        <w:pStyle w:val="20"/>
        <w:keepNext w:val="0"/>
        <w:keepLines w:val="0"/>
        <w:pageBreakBefore w:val="0"/>
        <w:numPr>
          <w:ilvl w:val="0"/>
          <w:numId w:val="10"/>
        </w:numPr>
        <w:kinsoku/>
        <w:wordWrap/>
        <w:overflowPunct/>
        <w:topLinePunct w:val="0"/>
        <w:autoSpaceDN/>
        <w:bidi w:val="0"/>
        <w:adjustRightInd/>
        <w:snapToGrid/>
        <w:spacing w:line="560" w:lineRule="exact"/>
        <w:ind w:left="840" w:leftChars="0" w:hanging="42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根据第</w:t>
      </w:r>
      <w:r>
        <w:rPr>
          <w:rFonts w:hint="eastAsia" w:ascii="仿宋" w:hAnsi="仿宋" w:eastAsia="仿宋" w:cs="仿宋"/>
          <w:sz w:val="28"/>
          <w:szCs w:val="28"/>
          <w:highlight w:val="none"/>
          <w:lang w:eastAsia="zh-CN"/>
        </w:rPr>
        <w:t>五</w:t>
      </w:r>
      <w:r>
        <w:rPr>
          <w:rFonts w:hint="eastAsia" w:ascii="仿宋" w:hAnsi="仿宋" w:eastAsia="仿宋" w:cs="仿宋"/>
          <w:sz w:val="28"/>
          <w:szCs w:val="28"/>
          <w:highlight w:val="none"/>
        </w:rPr>
        <w:t>章</w:t>
      </w:r>
      <w:r>
        <w:rPr>
          <w:rFonts w:hint="eastAsia" w:ascii="仿宋" w:hAnsi="仿宋" w:eastAsia="仿宋" w:cs="仿宋"/>
          <w:sz w:val="28"/>
          <w:szCs w:val="28"/>
          <w:highlight w:val="none"/>
          <w:lang w:val="en-US" w:eastAsia="zh-CN"/>
        </w:rPr>
        <w:t>评分规则，按评分指标要求提供对应证明材料。</w:t>
      </w:r>
    </w:p>
    <w:p w14:paraId="28E356A5">
      <w:pPr>
        <w:pStyle w:val="20"/>
        <w:keepNext w:val="0"/>
        <w:keepLines w:val="0"/>
        <w:pageBreakBefore w:val="0"/>
        <w:numPr>
          <w:ilvl w:val="0"/>
          <w:numId w:val="10"/>
        </w:numPr>
        <w:kinsoku/>
        <w:wordWrap/>
        <w:overflowPunct/>
        <w:topLinePunct w:val="0"/>
        <w:autoSpaceDN/>
        <w:bidi w:val="0"/>
        <w:adjustRightInd/>
        <w:snapToGrid/>
        <w:spacing w:line="560" w:lineRule="exact"/>
        <w:ind w:left="840" w:leftChars="0" w:hanging="42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根据附件</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提供首轮报价单和最终报价单，其中首轮报价单（附件</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）随响应文件编制，最终报价单需（附件</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）于磋商结束前</w:t>
      </w:r>
      <w:r>
        <w:rPr>
          <w:rFonts w:hint="eastAsia" w:ascii="仿宋" w:hAnsi="仿宋" w:eastAsia="仿宋" w:cs="仿宋"/>
          <w:sz w:val="28"/>
          <w:szCs w:val="28"/>
          <w:highlight w:val="none"/>
          <w:lang w:eastAsia="zh-CN"/>
        </w:rPr>
        <w:t>在会议现场</w:t>
      </w:r>
      <w:r>
        <w:rPr>
          <w:rFonts w:hint="eastAsia" w:ascii="仿宋" w:hAnsi="仿宋" w:eastAsia="仿宋" w:cs="仿宋"/>
          <w:sz w:val="28"/>
          <w:szCs w:val="28"/>
          <w:highlight w:val="none"/>
        </w:rPr>
        <w:t>单独提交</w:t>
      </w:r>
      <w:r>
        <w:rPr>
          <w:rFonts w:hint="eastAsia" w:ascii="仿宋" w:hAnsi="仿宋" w:eastAsia="仿宋" w:cs="仿宋"/>
          <w:sz w:val="28"/>
          <w:szCs w:val="28"/>
          <w:highlight w:val="none"/>
          <w:lang w:eastAsia="zh-CN"/>
        </w:rPr>
        <w:t>。供应商需自行携带已盖章的二次报价单，评分价格以最终报价为准。</w:t>
      </w:r>
    </w:p>
    <w:p w14:paraId="02EBC99A">
      <w:pPr>
        <w:pStyle w:val="20"/>
        <w:keepNext w:val="0"/>
        <w:keepLines w:val="0"/>
        <w:pageBreakBefore w:val="0"/>
        <w:numPr>
          <w:ilvl w:val="0"/>
          <w:numId w:val="10"/>
        </w:numPr>
        <w:kinsoku/>
        <w:wordWrap/>
        <w:overflowPunct/>
        <w:topLinePunct w:val="0"/>
        <w:autoSpaceDN/>
        <w:bidi w:val="0"/>
        <w:adjustRightInd/>
        <w:snapToGrid/>
        <w:spacing w:line="560" w:lineRule="exact"/>
        <w:ind w:left="840" w:leftChars="0" w:hanging="420" w:firstLineChars="0"/>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根据附件</w:t>
      </w:r>
      <w:r>
        <w:rPr>
          <w:rFonts w:hint="eastAsia" w:ascii="仿宋" w:hAnsi="仿宋" w:eastAsia="仿宋" w:cs="仿宋"/>
          <w:sz w:val="28"/>
          <w:szCs w:val="28"/>
          <w:highlight w:val="none"/>
          <w:lang w:val="en-US" w:eastAsia="zh-CN"/>
        </w:rPr>
        <w:t>3要求提供授权委托书、法定代表人及授权代表人身份证明。</w:t>
      </w:r>
    </w:p>
    <w:p w14:paraId="51C5E68D">
      <w:pPr>
        <w:pStyle w:val="20"/>
        <w:keepNext w:val="0"/>
        <w:keepLines w:val="0"/>
        <w:pageBreakBefore w:val="0"/>
        <w:numPr>
          <w:ilvl w:val="0"/>
          <w:numId w:val="10"/>
        </w:numPr>
        <w:kinsoku/>
        <w:wordWrap/>
        <w:overflowPunct/>
        <w:topLinePunct w:val="0"/>
        <w:autoSpaceDN/>
        <w:bidi w:val="0"/>
        <w:adjustRightInd/>
        <w:snapToGrid/>
        <w:spacing w:line="560" w:lineRule="exact"/>
        <w:ind w:left="840" w:leftChars="0" w:hanging="420" w:firstLineChars="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根据附件4要求提供承诺函。</w:t>
      </w:r>
    </w:p>
    <w:p w14:paraId="6D973258">
      <w:pPr>
        <w:pStyle w:val="20"/>
        <w:keepNext w:val="0"/>
        <w:keepLines w:val="0"/>
        <w:pageBreakBefore w:val="0"/>
        <w:numPr>
          <w:ilvl w:val="0"/>
          <w:numId w:val="0"/>
        </w:numPr>
        <w:kinsoku/>
        <w:wordWrap/>
        <w:overflowPunct/>
        <w:topLinePunct w:val="0"/>
        <w:autoSpaceDN/>
        <w:bidi w:val="0"/>
        <w:adjustRightInd/>
        <w:snapToGrid/>
        <w:spacing w:line="5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注：在</w:t>
      </w:r>
      <w:r>
        <w:rPr>
          <w:rFonts w:hint="eastAsia" w:ascii="仿宋" w:hAnsi="仿宋" w:eastAsia="仿宋" w:cs="仿宋"/>
          <w:sz w:val="28"/>
          <w:szCs w:val="28"/>
          <w:highlight w:val="none"/>
        </w:rPr>
        <w:t>截止时间前</w:t>
      </w:r>
      <w:r>
        <w:rPr>
          <w:rFonts w:hint="eastAsia" w:ascii="仿宋" w:hAnsi="仿宋" w:eastAsia="仿宋" w:cs="仿宋"/>
          <w:sz w:val="28"/>
          <w:szCs w:val="28"/>
          <w:highlight w:val="none"/>
          <w:lang w:eastAsia="zh-CN"/>
        </w:rPr>
        <w:t>，供应商</w:t>
      </w:r>
      <w:r>
        <w:rPr>
          <w:rFonts w:hint="eastAsia" w:ascii="仿宋" w:hAnsi="仿宋" w:eastAsia="仿宋" w:cs="仿宋"/>
          <w:sz w:val="28"/>
          <w:szCs w:val="28"/>
          <w:highlight w:val="none"/>
        </w:rPr>
        <w:t>可对所提交的响应文件进行补充、修改或撤回。补充、修改的内容将作为响应文件的组成部分。</w:t>
      </w:r>
    </w:p>
    <w:p w14:paraId="55CEFAE8">
      <w:pPr>
        <w:pStyle w:val="20"/>
        <w:keepNext w:val="0"/>
        <w:keepLines w:val="0"/>
        <w:pageBreakBefore w:val="0"/>
        <w:numPr>
          <w:ilvl w:val="0"/>
          <w:numId w:val="9"/>
        </w:numPr>
        <w:kinsoku/>
        <w:wordWrap/>
        <w:overflowPunct/>
        <w:topLinePunct w:val="0"/>
        <w:autoSpaceDN/>
        <w:bidi w:val="0"/>
        <w:adjustRightInd/>
        <w:snapToGrid/>
        <w:spacing w:line="560" w:lineRule="exact"/>
        <w:ind w:left="420" w:leftChars="0"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供应商应准备加盖供应商公章</w:t>
      </w:r>
      <w:r>
        <w:rPr>
          <w:rFonts w:hint="eastAsia" w:ascii="仿宋" w:hAnsi="仿宋" w:eastAsia="仿宋" w:cs="仿宋"/>
          <w:sz w:val="28"/>
          <w:szCs w:val="28"/>
          <w:highlight w:val="none"/>
          <w:lang w:val="en-US" w:eastAsia="zh-CN"/>
        </w:rPr>
        <w:t>的</w:t>
      </w:r>
      <w:r>
        <w:rPr>
          <w:rFonts w:hint="eastAsia" w:ascii="仿宋" w:hAnsi="仿宋" w:eastAsia="仿宋" w:cs="仿宋"/>
          <w:sz w:val="28"/>
          <w:szCs w:val="28"/>
          <w:highlight w:val="none"/>
        </w:rPr>
        <w:t>响应文</w:t>
      </w:r>
      <w:r>
        <w:rPr>
          <w:rFonts w:hint="eastAsia" w:ascii="仿宋" w:hAnsi="仿宋" w:eastAsia="仿宋" w:cs="仿宋"/>
          <w:sz w:val="28"/>
          <w:szCs w:val="28"/>
          <w:highlight w:val="none"/>
          <w:lang w:val="en-US" w:eastAsia="zh-CN"/>
        </w:rPr>
        <w:t>件，并提交使用U盘或光盘保存的电子件</w:t>
      </w:r>
      <w:r>
        <w:rPr>
          <w:rFonts w:hint="eastAsia" w:ascii="仿宋" w:hAnsi="仿宋" w:eastAsia="仿宋" w:cs="仿宋"/>
          <w:sz w:val="28"/>
          <w:szCs w:val="28"/>
          <w:highlight w:val="none"/>
        </w:rPr>
        <w:t>。</w:t>
      </w:r>
    </w:p>
    <w:p w14:paraId="2D141F0C">
      <w:pPr>
        <w:pStyle w:val="20"/>
        <w:keepNext w:val="0"/>
        <w:keepLines w:val="0"/>
        <w:pageBreakBefore w:val="0"/>
        <w:numPr>
          <w:ilvl w:val="0"/>
          <w:numId w:val="9"/>
        </w:numPr>
        <w:kinsoku/>
        <w:wordWrap/>
        <w:overflowPunct/>
        <w:topLinePunct w:val="0"/>
        <w:autoSpaceDN/>
        <w:bidi w:val="0"/>
        <w:adjustRightInd/>
        <w:snapToGrid/>
        <w:spacing w:line="560" w:lineRule="exact"/>
        <w:ind w:left="420" w:leftChars="0" w:firstLine="0" w:firstLineChars="0"/>
        <w:rPr>
          <w:rFonts w:hint="eastAsia" w:ascii="仿宋" w:hAnsi="仿宋" w:eastAsia="仿宋" w:cs="仿宋"/>
          <w:sz w:val="28"/>
          <w:szCs w:val="28"/>
          <w:highlight w:val="none"/>
        </w:rPr>
      </w:pPr>
      <w:r>
        <w:rPr>
          <w:rFonts w:hint="eastAsia" w:ascii="仿宋" w:hAnsi="仿宋" w:eastAsia="仿宋" w:cs="仿宋"/>
          <w:sz w:val="28"/>
          <w:szCs w:val="28"/>
          <w:highlight w:val="none"/>
        </w:rPr>
        <w:t>所有响应文件均采用封袋整体密封</w:t>
      </w:r>
      <w:r>
        <w:rPr>
          <w:rFonts w:hint="eastAsia" w:ascii="仿宋" w:hAnsi="仿宋" w:eastAsia="仿宋" w:cs="仿宋"/>
          <w:sz w:val="28"/>
          <w:szCs w:val="28"/>
          <w:highlight w:val="none"/>
          <w:lang w:val="en-US" w:eastAsia="zh-CN"/>
        </w:rPr>
        <w:t>（包括电子件）</w:t>
      </w:r>
      <w:r>
        <w:rPr>
          <w:rFonts w:hint="eastAsia" w:ascii="仿宋" w:hAnsi="仿宋" w:eastAsia="仿宋" w:cs="仿宋"/>
          <w:sz w:val="28"/>
          <w:szCs w:val="28"/>
          <w:highlight w:val="none"/>
        </w:rPr>
        <w:t>，在规定的</w:t>
      </w:r>
      <w:r>
        <w:rPr>
          <w:rFonts w:hint="eastAsia" w:ascii="仿宋" w:hAnsi="仿宋" w:eastAsia="仿宋" w:cs="仿宋"/>
          <w:sz w:val="28"/>
          <w:szCs w:val="28"/>
          <w:highlight w:val="none"/>
          <w:lang w:val="en-US" w:eastAsia="zh-CN"/>
        </w:rPr>
        <w:t>磋商</w:t>
      </w:r>
      <w:r>
        <w:rPr>
          <w:rFonts w:hint="eastAsia" w:ascii="仿宋" w:hAnsi="仿宋" w:eastAsia="仿宋" w:cs="仿宋"/>
          <w:sz w:val="28"/>
          <w:szCs w:val="28"/>
          <w:highlight w:val="none"/>
        </w:rPr>
        <w:t>时间前不得启封。在封袋正面标明项目名称、供应商名称等内容。</w:t>
      </w:r>
    </w:p>
    <w:p w14:paraId="1A0955A4">
      <w:pPr>
        <w:pStyle w:val="20"/>
        <w:keepNext w:val="0"/>
        <w:keepLines w:val="0"/>
        <w:pageBreakBefore w:val="0"/>
        <w:numPr>
          <w:ilvl w:val="0"/>
          <w:numId w:val="8"/>
        </w:numPr>
        <w:kinsoku/>
        <w:wordWrap/>
        <w:overflowPunct/>
        <w:topLinePunct w:val="0"/>
        <w:autoSpaceDN/>
        <w:bidi w:val="0"/>
        <w:adjustRightInd/>
        <w:snapToGrid/>
        <w:spacing w:line="560" w:lineRule="exact"/>
        <w:ind w:left="840" w:leftChars="0" w:firstLineChars="0"/>
        <w:outlineLvl w:val="1"/>
        <w:rPr>
          <w:rFonts w:hint="eastAsia" w:ascii="黑体" w:hAnsi="黑体" w:eastAsia="黑体" w:cs="黑体"/>
          <w:b/>
          <w:bCs/>
          <w:sz w:val="32"/>
          <w:szCs w:val="32"/>
          <w:highlight w:val="none"/>
        </w:rPr>
      </w:pPr>
      <w:bookmarkStart w:id="12" w:name="_Toc31459"/>
      <w:r>
        <w:rPr>
          <w:rFonts w:hint="eastAsia" w:ascii="黑体" w:hAnsi="黑体" w:eastAsia="黑体" w:cs="黑体"/>
          <w:b/>
          <w:bCs/>
          <w:sz w:val="32"/>
          <w:szCs w:val="32"/>
          <w:highlight w:val="none"/>
        </w:rPr>
        <w:t>响应文件有效期</w:t>
      </w:r>
      <w:bookmarkEnd w:id="12"/>
    </w:p>
    <w:p w14:paraId="4402AC97">
      <w:pPr>
        <w:pStyle w:val="20"/>
        <w:keepNext w:val="0"/>
        <w:keepLines w:val="0"/>
        <w:pageBreakBefore w:val="0"/>
        <w:widowControl/>
        <w:kinsoku/>
        <w:wordWrap/>
        <w:overflowPunct/>
        <w:topLinePunct w:val="0"/>
        <w:autoSpaceDN/>
        <w:bidi w:val="0"/>
        <w:adjustRightInd/>
        <w:snapToGrid/>
        <w:spacing w:line="5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有效期至竞争性磋商结束之日，对成交供应商，延长至合同执行完毕时止。</w:t>
      </w:r>
    </w:p>
    <w:p w14:paraId="11B8327D">
      <w:pPr>
        <w:pStyle w:val="20"/>
        <w:keepNext w:val="0"/>
        <w:keepLines w:val="0"/>
        <w:pageBreakBefore w:val="0"/>
        <w:numPr>
          <w:ilvl w:val="0"/>
          <w:numId w:val="8"/>
        </w:numPr>
        <w:kinsoku/>
        <w:wordWrap/>
        <w:overflowPunct/>
        <w:topLinePunct w:val="0"/>
        <w:autoSpaceDN/>
        <w:bidi w:val="0"/>
        <w:adjustRightInd/>
        <w:snapToGrid/>
        <w:spacing w:line="560" w:lineRule="exact"/>
        <w:ind w:left="840" w:leftChars="0" w:firstLineChars="0"/>
        <w:outlineLvl w:val="1"/>
        <w:rPr>
          <w:rFonts w:hint="eastAsia" w:ascii="黑体" w:hAnsi="黑体" w:eastAsia="黑体" w:cs="黑体"/>
          <w:b/>
          <w:bCs/>
          <w:sz w:val="32"/>
          <w:szCs w:val="32"/>
          <w:highlight w:val="none"/>
        </w:rPr>
      </w:pPr>
      <w:bookmarkStart w:id="13" w:name="_Toc20168"/>
      <w:r>
        <w:rPr>
          <w:rFonts w:hint="eastAsia" w:ascii="黑体" w:hAnsi="黑体" w:eastAsia="黑体" w:cs="黑体"/>
          <w:b/>
          <w:bCs/>
          <w:sz w:val="32"/>
          <w:szCs w:val="32"/>
          <w:highlight w:val="none"/>
        </w:rPr>
        <w:t>响应文件递交</w:t>
      </w:r>
      <w:bookmarkEnd w:id="13"/>
    </w:p>
    <w:p w14:paraId="6DC26738">
      <w:pPr>
        <w:keepNext w:val="0"/>
        <w:keepLines w:val="0"/>
        <w:pageBreakBefore w:val="0"/>
        <w:widowControl/>
        <w:kinsoku/>
        <w:wordWrap/>
        <w:overflowPunct/>
        <w:topLinePunct w:val="0"/>
        <w:autoSpaceDN/>
        <w:bidi w:val="0"/>
        <w:adjustRightInd/>
        <w:snapToGrid/>
        <w:spacing w:line="56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供应商应</w:t>
      </w:r>
      <w:r>
        <w:rPr>
          <w:rFonts w:hint="eastAsia" w:ascii="仿宋" w:hAnsi="仿宋" w:eastAsia="仿宋" w:cs="仿宋"/>
          <w:sz w:val="28"/>
          <w:szCs w:val="28"/>
          <w:highlight w:val="none"/>
          <w:lang w:eastAsia="zh-CN"/>
        </w:rPr>
        <w:t>于磋商当日递交</w:t>
      </w:r>
      <w:r>
        <w:rPr>
          <w:rFonts w:hint="eastAsia" w:ascii="仿宋" w:hAnsi="仿宋" w:eastAsia="仿宋" w:cs="仿宋"/>
          <w:sz w:val="28"/>
          <w:szCs w:val="28"/>
          <w:highlight w:val="none"/>
        </w:rPr>
        <w:t>响应文件。在截止时间后送达的响应文件为无效文件，采购人将予以拒收。</w:t>
      </w:r>
    </w:p>
    <w:p w14:paraId="46FD8C1D">
      <w:pPr>
        <w:keepNext w:val="0"/>
        <w:keepLines w:val="0"/>
        <w:pageBreakBefore w:val="0"/>
        <w:widowControl/>
        <w:kinsoku/>
        <w:wordWrap/>
        <w:overflowPunct/>
        <w:topLinePunct w:val="0"/>
        <w:autoSpaceDN/>
        <w:bidi w:val="0"/>
        <w:adjustRightInd/>
        <w:snapToGrid/>
        <w:spacing w:line="560" w:lineRule="exact"/>
        <w:ind w:firstLine="560" w:firstLineChars="200"/>
        <w:jc w:val="left"/>
        <w:rPr>
          <w:rFonts w:hint="eastAsia" w:ascii="仿宋" w:hAnsi="仿宋" w:eastAsia="仿宋" w:cs="仿宋"/>
          <w:sz w:val="28"/>
          <w:szCs w:val="28"/>
          <w:highlight w:val="none"/>
        </w:rPr>
      </w:pPr>
    </w:p>
    <w:p w14:paraId="3E341DDB">
      <w:pPr>
        <w:pStyle w:val="20"/>
        <w:keepNext w:val="0"/>
        <w:keepLines w:val="0"/>
        <w:pageBreakBefore w:val="0"/>
        <w:widowControl/>
        <w:numPr>
          <w:ilvl w:val="0"/>
          <w:numId w:val="1"/>
        </w:numPr>
        <w:kinsoku/>
        <w:wordWrap/>
        <w:overflowPunct/>
        <w:topLinePunct w:val="0"/>
        <w:autoSpaceDN/>
        <w:bidi w:val="0"/>
        <w:adjustRightInd/>
        <w:snapToGrid/>
        <w:spacing w:line="560" w:lineRule="exact"/>
        <w:ind w:firstLineChars="0"/>
        <w:jc w:val="center"/>
        <w:outlineLvl w:val="0"/>
        <w:rPr>
          <w:rFonts w:hint="eastAsia" w:ascii="黑体" w:hAnsi="黑体" w:eastAsia="黑体" w:cs="黑体"/>
          <w:b/>
          <w:sz w:val="32"/>
          <w:szCs w:val="32"/>
          <w:highlight w:val="none"/>
          <w:lang w:val="en-US" w:eastAsia="zh-CN"/>
        </w:rPr>
      </w:pPr>
      <w:r>
        <w:rPr>
          <w:rFonts w:hint="eastAsia" w:ascii="黑体" w:hAnsi="黑体" w:eastAsia="黑体" w:cs="黑体"/>
          <w:b/>
          <w:sz w:val="32"/>
          <w:szCs w:val="32"/>
          <w:highlight w:val="none"/>
          <w:lang w:val="en-US" w:eastAsia="zh-CN"/>
        </w:rPr>
        <w:t>评分规则</w:t>
      </w:r>
    </w:p>
    <w:p w14:paraId="100E5488">
      <w:pPr>
        <w:pStyle w:val="20"/>
        <w:keepNext w:val="0"/>
        <w:keepLines w:val="0"/>
        <w:pageBreakBefore w:val="0"/>
        <w:widowControl/>
        <w:numPr>
          <w:ilvl w:val="-1"/>
          <w:numId w:val="0"/>
        </w:numPr>
        <w:kinsoku/>
        <w:wordWrap/>
        <w:overflowPunct/>
        <w:topLinePunct w:val="0"/>
        <w:autoSpaceDN/>
        <w:bidi w:val="0"/>
        <w:adjustRightInd/>
        <w:snapToGrid/>
        <w:spacing w:line="560" w:lineRule="exact"/>
        <w:ind w:left="0" w:firstLine="0" w:firstLineChars="0"/>
        <w:jc w:val="both"/>
        <w:outlineLvl w:val="0"/>
        <w:rPr>
          <w:rFonts w:hint="eastAsia" w:ascii="黑体" w:hAnsi="黑体" w:eastAsia="黑体" w:cs="黑体"/>
          <w:b/>
          <w:sz w:val="32"/>
          <w:szCs w:val="32"/>
          <w:highlight w:val="none"/>
          <w:lang w:val="en-US" w:eastAsia="zh-CN"/>
        </w:rPr>
      </w:pPr>
    </w:p>
    <w:p w14:paraId="3473C69E">
      <w:pPr>
        <w:pStyle w:val="20"/>
        <w:keepNext w:val="0"/>
        <w:keepLines w:val="0"/>
        <w:pageBreakBefore w:val="0"/>
        <w:widowControl/>
        <w:numPr>
          <w:ilvl w:val="-1"/>
          <w:numId w:val="0"/>
        </w:numPr>
        <w:kinsoku/>
        <w:wordWrap/>
        <w:overflowPunct/>
        <w:topLinePunct w:val="0"/>
        <w:autoSpaceDN/>
        <w:bidi w:val="0"/>
        <w:adjustRightInd/>
        <w:snapToGrid/>
        <w:spacing w:line="560" w:lineRule="exact"/>
        <w:ind w:left="0" w:firstLine="0" w:firstLineChars="0"/>
        <w:jc w:val="both"/>
        <w:outlineLvl w:val="0"/>
        <w:rPr>
          <w:rFonts w:hint="eastAsia" w:ascii="黑体" w:hAnsi="黑体" w:eastAsia="黑体" w:cs="黑体"/>
          <w:b/>
          <w:sz w:val="32"/>
          <w:szCs w:val="32"/>
          <w:highlight w:val="none"/>
          <w:lang w:val="en-US" w:eastAsia="zh-CN"/>
        </w:rPr>
      </w:pPr>
    </w:p>
    <w:tbl>
      <w:tblPr>
        <w:tblStyle w:val="13"/>
        <w:tblW w:w="8259" w:type="dxa"/>
        <w:tblInd w:w="0" w:type="dxa"/>
        <w:tblLayout w:type="fixed"/>
        <w:tblCellMar>
          <w:top w:w="0" w:type="dxa"/>
          <w:left w:w="10" w:type="dxa"/>
          <w:bottom w:w="0" w:type="dxa"/>
          <w:right w:w="10" w:type="dxa"/>
        </w:tblCellMar>
      </w:tblPr>
      <w:tblGrid>
        <w:gridCol w:w="1471"/>
        <w:gridCol w:w="1438"/>
        <w:gridCol w:w="1337"/>
        <w:gridCol w:w="4013"/>
      </w:tblGrid>
      <w:tr w14:paraId="7DEEA458">
        <w:tblPrEx>
          <w:tblCellMar>
            <w:top w:w="0" w:type="dxa"/>
            <w:left w:w="10" w:type="dxa"/>
            <w:bottom w:w="0" w:type="dxa"/>
            <w:right w:w="10" w:type="dxa"/>
          </w:tblCellMar>
        </w:tblPrEx>
        <w:trPr>
          <w:trHeight w:val="634" w:hRule="exact"/>
        </w:trPr>
        <w:tc>
          <w:tcPr>
            <w:tcW w:w="1471" w:type="dxa"/>
            <w:tcBorders>
              <w:top w:val="single" w:color="auto" w:sz="4" w:space="0"/>
              <w:left w:val="single" w:color="auto" w:sz="4" w:space="0"/>
            </w:tcBorders>
            <w:noWrap w:val="0"/>
            <w:vAlign w:val="center"/>
          </w:tcPr>
          <w:p w14:paraId="037AFC4A">
            <w:pPr>
              <w:pStyle w:val="32"/>
              <w:keepNext w:val="0"/>
              <w:keepLines w:val="0"/>
              <w:widowControl w:val="0"/>
              <w:shd w:val="clear" w:color="auto" w:fill="auto"/>
              <w:bidi w:val="0"/>
              <w:spacing w:before="0" w:after="0" w:line="240" w:lineRule="auto"/>
              <w:ind w:left="0" w:right="0" w:firstLine="0"/>
              <w:jc w:val="center"/>
            </w:pPr>
            <w:r>
              <w:rPr>
                <w:rStyle w:val="33"/>
                <w:b w:val="0"/>
                <w:bCs w:val="0"/>
                <w:i w:val="0"/>
                <w:iCs w:val="0"/>
                <w:smallCaps w:val="0"/>
                <w:strike w:val="0"/>
              </w:rPr>
              <w:t>评分项目</w:t>
            </w:r>
          </w:p>
        </w:tc>
        <w:tc>
          <w:tcPr>
            <w:tcW w:w="1438" w:type="dxa"/>
            <w:tcBorders>
              <w:top w:val="single" w:color="auto" w:sz="4" w:space="0"/>
              <w:left w:val="single" w:color="auto" w:sz="4" w:space="0"/>
            </w:tcBorders>
            <w:noWrap w:val="0"/>
            <w:vAlign w:val="center"/>
          </w:tcPr>
          <w:p w14:paraId="1B334AE4">
            <w:pPr>
              <w:pStyle w:val="32"/>
              <w:keepNext w:val="0"/>
              <w:keepLines w:val="0"/>
              <w:widowControl w:val="0"/>
              <w:shd w:val="clear" w:color="auto" w:fill="auto"/>
              <w:bidi w:val="0"/>
              <w:spacing w:before="0" w:after="0" w:line="240" w:lineRule="auto"/>
              <w:ind w:left="0" w:right="0" w:firstLine="0"/>
              <w:jc w:val="center"/>
            </w:pPr>
            <w:r>
              <w:rPr>
                <w:rStyle w:val="33"/>
                <w:b w:val="0"/>
                <w:bCs w:val="0"/>
                <w:i w:val="0"/>
                <w:iCs w:val="0"/>
                <w:smallCaps w:val="0"/>
                <w:strike w:val="0"/>
              </w:rPr>
              <w:t>评分指标</w:t>
            </w:r>
          </w:p>
        </w:tc>
        <w:tc>
          <w:tcPr>
            <w:tcW w:w="1337" w:type="dxa"/>
            <w:tcBorders>
              <w:top w:val="single" w:color="auto" w:sz="4" w:space="0"/>
              <w:left w:val="single" w:color="auto" w:sz="4" w:space="0"/>
            </w:tcBorders>
            <w:noWrap w:val="0"/>
            <w:vAlign w:val="center"/>
          </w:tcPr>
          <w:p w14:paraId="7FF9DA8D">
            <w:pPr>
              <w:pStyle w:val="32"/>
              <w:keepNext w:val="0"/>
              <w:keepLines w:val="0"/>
              <w:widowControl w:val="0"/>
              <w:shd w:val="clear" w:color="auto" w:fill="auto"/>
              <w:bidi w:val="0"/>
              <w:spacing w:before="0" w:after="0" w:line="240" w:lineRule="auto"/>
              <w:ind w:left="0" w:right="0" w:firstLine="0"/>
              <w:jc w:val="center"/>
            </w:pPr>
            <w:r>
              <w:rPr>
                <w:rStyle w:val="33"/>
                <w:b w:val="0"/>
                <w:bCs w:val="0"/>
                <w:i w:val="0"/>
                <w:iCs w:val="0"/>
                <w:smallCaps w:val="0"/>
                <w:strike w:val="0"/>
              </w:rPr>
              <w:t>分</w:t>
            </w:r>
            <w:r>
              <w:rPr>
                <w:rStyle w:val="33"/>
                <w:b w:val="0"/>
                <w:bCs w:val="0"/>
                <w:i w:val="0"/>
                <w:iCs w:val="0"/>
                <w:smallCaps w:val="0"/>
                <w:strike w:val="0"/>
                <w:lang w:val="ja-JP" w:eastAsia="ja-JP" w:bidi="ja-JP"/>
              </w:rPr>
              <w:t>值区间</w:t>
            </w:r>
          </w:p>
        </w:tc>
        <w:tc>
          <w:tcPr>
            <w:tcW w:w="4013" w:type="dxa"/>
            <w:tcBorders>
              <w:top w:val="single" w:color="auto" w:sz="4" w:space="0"/>
              <w:left w:val="single" w:color="auto" w:sz="4" w:space="0"/>
              <w:right w:val="single" w:color="auto" w:sz="4" w:space="0"/>
            </w:tcBorders>
            <w:noWrap w:val="0"/>
            <w:vAlign w:val="center"/>
          </w:tcPr>
          <w:p w14:paraId="014021E9">
            <w:pPr>
              <w:pStyle w:val="32"/>
              <w:keepNext w:val="0"/>
              <w:keepLines w:val="0"/>
              <w:widowControl w:val="0"/>
              <w:shd w:val="clear" w:color="auto" w:fill="auto"/>
              <w:bidi w:val="0"/>
              <w:spacing w:before="0" w:after="0" w:line="312" w:lineRule="exact"/>
              <w:ind w:left="0" w:right="0" w:firstLine="0"/>
              <w:jc w:val="center"/>
            </w:pPr>
            <w:r>
              <w:rPr>
                <w:rStyle w:val="33"/>
                <w:b w:val="0"/>
                <w:bCs w:val="0"/>
                <w:i w:val="0"/>
                <w:iCs w:val="0"/>
                <w:smallCaps w:val="0"/>
                <w:strike w:val="0"/>
              </w:rPr>
              <w:t>评分标</w:t>
            </w:r>
            <w:r>
              <w:rPr>
                <w:rStyle w:val="33"/>
                <w:b w:val="0"/>
                <w:bCs w:val="0"/>
                <w:i w:val="0"/>
                <w:iCs w:val="0"/>
                <w:smallCaps w:val="0"/>
                <w:strike w:val="0"/>
                <w:lang w:val="ja-JP" w:eastAsia="ja-JP" w:bidi="ja-JP"/>
              </w:rPr>
              <w:t>准</w:t>
            </w:r>
          </w:p>
        </w:tc>
      </w:tr>
      <w:tr w14:paraId="3EA35A94">
        <w:tblPrEx>
          <w:tblCellMar>
            <w:top w:w="0" w:type="dxa"/>
            <w:left w:w="10" w:type="dxa"/>
            <w:bottom w:w="0" w:type="dxa"/>
            <w:right w:w="10" w:type="dxa"/>
          </w:tblCellMar>
        </w:tblPrEx>
        <w:trPr>
          <w:trHeight w:val="1861" w:hRule="exact"/>
        </w:trPr>
        <w:tc>
          <w:tcPr>
            <w:tcW w:w="1471" w:type="dxa"/>
            <w:vMerge w:val="restart"/>
            <w:tcBorders>
              <w:top w:val="single" w:color="auto" w:sz="4" w:space="0"/>
              <w:left w:val="single" w:color="auto" w:sz="4" w:space="0"/>
            </w:tcBorders>
            <w:noWrap w:val="0"/>
            <w:vAlign w:val="center"/>
          </w:tcPr>
          <w:p w14:paraId="2ACE6D2C">
            <w:pPr>
              <w:pStyle w:val="32"/>
              <w:keepNext w:val="0"/>
              <w:keepLines w:val="0"/>
              <w:widowControl w:val="0"/>
              <w:shd w:val="clear" w:color="auto" w:fill="auto"/>
              <w:bidi w:val="0"/>
              <w:spacing w:before="0" w:after="0" w:line="290" w:lineRule="exact"/>
              <w:ind w:left="0" w:right="0" w:firstLine="0"/>
              <w:jc w:val="center"/>
              <w:rPr>
                <w:rFonts w:hint="eastAsia" w:ascii="宋体" w:hAnsi="宋体" w:eastAsia="宋体" w:cs="宋体"/>
                <w:sz w:val="24"/>
                <w:szCs w:val="24"/>
              </w:rPr>
            </w:pPr>
            <w:r>
              <w:rPr>
                <w:rStyle w:val="33"/>
                <w:rFonts w:hint="eastAsia" w:ascii="宋体" w:hAnsi="宋体" w:eastAsia="宋体" w:cs="宋体"/>
                <w:b w:val="0"/>
                <w:bCs w:val="0"/>
                <w:i w:val="0"/>
                <w:iCs w:val="0"/>
                <w:smallCaps w:val="0"/>
                <w:strike w:val="0"/>
              </w:rPr>
              <w:t>商务 (</w:t>
            </w:r>
            <w:r>
              <w:rPr>
                <w:rStyle w:val="33"/>
                <w:rFonts w:hint="eastAsia" w:ascii="宋体" w:hAnsi="宋体" w:eastAsia="宋体" w:cs="宋体"/>
                <w:b w:val="0"/>
                <w:bCs w:val="0"/>
                <w:i w:val="0"/>
                <w:iCs w:val="0"/>
                <w:smallCaps w:val="0"/>
                <w:strike w:val="0"/>
                <w:lang w:val="en-US" w:eastAsia="zh-CN"/>
              </w:rPr>
              <w:t>10分</w:t>
            </w:r>
            <w:r>
              <w:rPr>
                <w:rStyle w:val="33"/>
                <w:rFonts w:hint="eastAsia" w:ascii="宋体" w:hAnsi="宋体" w:eastAsia="宋体" w:cs="宋体"/>
                <w:b w:val="0"/>
                <w:bCs w:val="0"/>
                <w:i w:val="0"/>
                <w:iCs w:val="0"/>
                <w:smallCaps w:val="0"/>
                <w:strike w:val="0"/>
                <w:sz w:val="24"/>
                <w:szCs w:val="24"/>
              </w:rPr>
              <w:t>)</w:t>
            </w:r>
          </w:p>
        </w:tc>
        <w:tc>
          <w:tcPr>
            <w:tcW w:w="1438" w:type="dxa"/>
            <w:tcBorders>
              <w:top w:val="single" w:color="auto" w:sz="4" w:space="0"/>
              <w:left w:val="single" w:color="auto" w:sz="4" w:space="0"/>
            </w:tcBorders>
            <w:noWrap w:val="0"/>
            <w:vAlign w:val="center"/>
          </w:tcPr>
          <w:p w14:paraId="1B00E293">
            <w:pPr>
              <w:pStyle w:val="32"/>
              <w:keepNext w:val="0"/>
              <w:keepLines w:val="0"/>
              <w:widowControl w:val="0"/>
              <w:shd w:val="clear" w:color="auto" w:fill="auto"/>
              <w:bidi w:val="0"/>
              <w:spacing w:before="0" w:after="0" w:line="240" w:lineRule="auto"/>
              <w:ind w:left="0" w:right="0" w:firstLine="0" w:firstLineChars="0"/>
              <w:jc w:val="center"/>
              <w:rPr>
                <w:rFonts w:hint="eastAsia" w:ascii="宋体" w:hAnsi="宋体" w:eastAsia="宋体" w:cs="宋体"/>
                <w:highlight w:val="none"/>
              </w:rPr>
            </w:pPr>
            <w:r>
              <w:rPr>
                <w:rStyle w:val="33"/>
                <w:rFonts w:hint="eastAsia" w:ascii="宋体" w:hAnsi="宋体" w:eastAsia="宋体" w:cs="宋体"/>
                <w:b w:val="0"/>
                <w:bCs w:val="0"/>
                <w:i w:val="0"/>
                <w:iCs w:val="0"/>
                <w:smallCaps w:val="0"/>
                <w:strike w:val="0"/>
                <w:highlight w:val="none"/>
                <w:lang w:eastAsia="zh-CN"/>
              </w:rPr>
              <w:t>资质证明</w:t>
            </w:r>
          </w:p>
        </w:tc>
        <w:tc>
          <w:tcPr>
            <w:tcW w:w="1337" w:type="dxa"/>
            <w:tcBorders>
              <w:top w:val="single" w:color="auto" w:sz="4" w:space="0"/>
              <w:left w:val="single" w:color="auto" w:sz="4" w:space="0"/>
            </w:tcBorders>
            <w:noWrap w:val="0"/>
            <w:vAlign w:val="center"/>
          </w:tcPr>
          <w:p w14:paraId="5792BFFB">
            <w:pPr>
              <w:pStyle w:val="32"/>
              <w:keepNext w:val="0"/>
              <w:keepLines w:val="0"/>
              <w:widowControl w:val="0"/>
              <w:shd w:val="clear" w:color="auto" w:fill="auto"/>
              <w:bidi w:val="0"/>
              <w:spacing w:before="0" w:after="0" w:line="240" w:lineRule="auto"/>
              <w:ind w:right="0"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0-5</w:t>
            </w:r>
          </w:p>
        </w:tc>
        <w:tc>
          <w:tcPr>
            <w:tcW w:w="4013" w:type="dxa"/>
            <w:tcBorders>
              <w:top w:val="single" w:color="auto" w:sz="4" w:space="0"/>
              <w:left w:val="single" w:color="auto" w:sz="4" w:space="0"/>
              <w:right w:val="single" w:color="auto" w:sz="4" w:space="0"/>
            </w:tcBorders>
            <w:noWrap w:val="0"/>
            <w:vAlign w:val="top"/>
          </w:tcPr>
          <w:p w14:paraId="44DAF7FB">
            <w:pPr>
              <w:pStyle w:val="32"/>
              <w:keepNext w:val="0"/>
              <w:keepLines w:val="0"/>
              <w:widowControl w:val="0"/>
              <w:numPr>
                <w:ilvl w:val="0"/>
                <w:numId w:val="0"/>
              </w:numPr>
              <w:shd w:val="clear" w:color="auto" w:fill="auto"/>
              <w:bidi w:val="0"/>
              <w:spacing w:before="0" w:after="0" w:line="298" w:lineRule="exact"/>
              <w:ind w:leftChars="0" w:right="0" w:rightChars="0"/>
              <w:jc w:val="both"/>
              <w:rPr>
                <w:rFonts w:hint="eastAsia" w:ascii="宋体" w:hAnsi="宋体" w:eastAsia="宋体" w:cs="宋体"/>
                <w:i w:val="0"/>
                <w:iCs w:val="0"/>
                <w:caps w:val="0"/>
                <w:color w:val="0F1115"/>
                <w:spacing w:val="0"/>
                <w:sz w:val="22"/>
                <w:szCs w:val="22"/>
                <w:highlight w:val="none"/>
                <w:shd w:val="clear" w:color="auto" w:fill="FFFFFF"/>
              </w:rPr>
            </w:pPr>
            <w:r>
              <w:rPr>
                <w:rFonts w:hint="eastAsia" w:ascii="宋体" w:hAnsi="宋体" w:eastAsia="宋体" w:cs="宋体"/>
                <w:i w:val="0"/>
                <w:iCs w:val="0"/>
                <w:caps w:val="0"/>
                <w:color w:val="0F1115"/>
                <w:spacing w:val="0"/>
                <w:sz w:val="22"/>
                <w:szCs w:val="22"/>
                <w:highlight w:val="none"/>
                <w:shd w:val="clear" w:color="auto" w:fill="FFFFFF"/>
                <w:lang w:val="en-US" w:eastAsia="zh-CN"/>
              </w:rPr>
              <w:t>1.</w:t>
            </w:r>
            <w:r>
              <w:rPr>
                <w:rFonts w:hint="eastAsia" w:ascii="宋体" w:hAnsi="宋体" w:eastAsia="宋体" w:cs="宋体"/>
                <w:i w:val="0"/>
                <w:iCs w:val="0"/>
                <w:caps w:val="0"/>
                <w:color w:val="0F1115"/>
                <w:spacing w:val="0"/>
                <w:sz w:val="22"/>
                <w:szCs w:val="22"/>
                <w:highlight w:val="none"/>
                <w:shd w:val="clear" w:color="auto" w:fill="FFFFFF"/>
              </w:rPr>
              <w:t>具有有效的ISO9001质量管理体系认证证书（认证范围包含软件开发或信息技术服务）得</w:t>
            </w:r>
            <w:r>
              <w:rPr>
                <w:rFonts w:hint="eastAsia" w:ascii="宋体" w:hAnsi="宋体" w:eastAsia="宋体" w:cs="宋体"/>
                <w:i w:val="0"/>
                <w:iCs w:val="0"/>
                <w:caps w:val="0"/>
                <w:color w:val="0F1115"/>
                <w:spacing w:val="0"/>
                <w:sz w:val="22"/>
                <w:szCs w:val="22"/>
                <w:highlight w:val="none"/>
                <w:shd w:val="clear" w:color="auto" w:fill="FFFFFF"/>
                <w:lang w:val="en-US" w:eastAsia="zh-CN"/>
              </w:rPr>
              <w:t>2.5</w:t>
            </w:r>
            <w:r>
              <w:rPr>
                <w:rFonts w:hint="eastAsia" w:ascii="宋体" w:hAnsi="宋体" w:eastAsia="宋体" w:cs="宋体"/>
                <w:i w:val="0"/>
                <w:iCs w:val="0"/>
                <w:caps w:val="0"/>
                <w:color w:val="0F1115"/>
                <w:spacing w:val="0"/>
                <w:sz w:val="22"/>
                <w:szCs w:val="22"/>
                <w:highlight w:val="none"/>
                <w:shd w:val="clear" w:color="auto" w:fill="FFFFFF"/>
              </w:rPr>
              <w:t>分；</w:t>
            </w:r>
          </w:p>
          <w:p w14:paraId="5A90CA2A">
            <w:pPr>
              <w:pStyle w:val="32"/>
              <w:keepNext w:val="0"/>
              <w:keepLines w:val="0"/>
              <w:widowControl w:val="0"/>
              <w:numPr>
                <w:ilvl w:val="0"/>
                <w:numId w:val="0"/>
              </w:numPr>
              <w:shd w:val="clear" w:color="auto" w:fill="auto"/>
              <w:bidi w:val="0"/>
              <w:spacing w:before="0" w:after="0" w:line="298" w:lineRule="exact"/>
              <w:ind w:leftChars="0" w:right="0" w:rightChars="0"/>
              <w:jc w:val="both"/>
              <w:rPr>
                <w:rFonts w:hint="eastAsia" w:ascii="宋体" w:hAnsi="宋体" w:eastAsia="宋体" w:cs="宋体"/>
                <w:highlight w:val="none"/>
              </w:rPr>
            </w:pPr>
            <w:r>
              <w:rPr>
                <w:rFonts w:hint="eastAsia" w:ascii="宋体" w:hAnsi="宋体" w:eastAsia="宋体" w:cs="宋体"/>
                <w:i w:val="0"/>
                <w:iCs w:val="0"/>
                <w:caps w:val="0"/>
                <w:color w:val="0F1115"/>
                <w:spacing w:val="0"/>
                <w:sz w:val="22"/>
                <w:szCs w:val="22"/>
                <w:highlight w:val="none"/>
                <w:shd w:val="clear" w:color="auto" w:fill="FFFFFF"/>
              </w:rPr>
              <w:t>2.具有ISO20000 IT服务管理体系认证或ISO27001信息安全管理体系认证的，得</w:t>
            </w:r>
            <w:r>
              <w:rPr>
                <w:rFonts w:hint="eastAsia" w:ascii="宋体" w:hAnsi="宋体" w:eastAsia="宋体" w:cs="宋体"/>
                <w:i w:val="0"/>
                <w:iCs w:val="0"/>
                <w:caps w:val="0"/>
                <w:color w:val="0F1115"/>
                <w:spacing w:val="0"/>
                <w:sz w:val="22"/>
                <w:szCs w:val="22"/>
                <w:highlight w:val="none"/>
                <w:shd w:val="clear" w:color="auto" w:fill="FFFFFF"/>
                <w:lang w:val="en-US" w:eastAsia="zh-CN"/>
              </w:rPr>
              <w:t>2.5</w:t>
            </w:r>
            <w:r>
              <w:rPr>
                <w:rFonts w:hint="eastAsia" w:ascii="宋体" w:hAnsi="宋体" w:eastAsia="宋体" w:cs="宋体"/>
                <w:i w:val="0"/>
                <w:iCs w:val="0"/>
                <w:caps w:val="0"/>
                <w:color w:val="0F1115"/>
                <w:spacing w:val="0"/>
                <w:sz w:val="22"/>
                <w:szCs w:val="22"/>
                <w:highlight w:val="none"/>
                <w:shd w:val="clear" w:color="auto" w:fill="FFFFFF"/>
              </w:rPr>
              <w:t>分；</w:t>
            </w:r>
            <w:r>
              <w:rPr>
                <w:rFonts w:hint="eastAsia" w:ascii="宋体" w:hAnsi="宋体" w:eastAsia="宋体" w:cs="宋体"/>
                <w:i w:val="0"/>
                <w:iCs w:val="0"/>
                <w:caps w:val="0"/>
                <w:color w:val="0F1115"/>
                <w:spacing w:val="0"/>
                <w:sz w:val="22"/>
                <w:szCs w:val="22"/>
                <w:highlight w:val="none"/>
                <w:shd w:val="clear" w:color="auto" w:fill="FFFFFF"/>
              </w:rPr>
              <w:br w:type="textWrapping"/>
            </w:r>
          </w:p>
        </w:tc>
      </w:tr>
      <w:tr w14:paraId="0240A365">
        <w:tblPrEx>
          <w:tblCellMar>
            <w:top w:w="0" w:type="dxa"/>
            <w:left w:w="10" w:type="dxa"/>
            <w:bottom w:w="0" w:type="dxa"/>
            <w:right w:w="10" w:type="dxa"/>
          </w:tblCellMar>
        </w:tblPrEx>
        <w:trPr>
          <w:trHeight w:val="1590" w:hRule="exact"/>
        </w:trPr>
        <w:tc>
          <w:tcPr>
            <w:tcW w:w="1471" w:type="dxa"/>
            <w:vMerge w:val="continue"/>
            <w:tcBorders>
              <w:left w:val="single" w:color="auto" w:sz="4" w:space="0"/>
            </w:tcBorders>
            <w:noWrap w:val="0"/>
            <w:vAlign w:val="center"/>
          </w:tcPr>
          <w:p w14:paraId="428CB457">
            <w:pPr>
              <w:rPr>
                <w:rFonts w:hint="eastAsia" w:ascii="宋体" w:hAnsi="宋体" w:eastAsia="宋体" w:cs="宋体"/>
              </w:rPr>
            </w:pPr>
          </w:p>
        </w:tc>
        <w:tc>
          <w:tcPr>
            <w:tcW w:w="1438" w:type="dxa"/>
            <w:tcBorders>
              <w:top w:val="single" w:color="auto" w:sz="4" w:space="0"/>
              <w:left w:val="single" w:color="auto" w:sz="4" w:space="0"/>
              <w:bottom w:val="single" w:color="auto" w:sz="4" w:space="0"/>
            </w:tcBorders>
            <w:noWrap w:val="0"/>
            <w:vAlign w:val="center"/>
          </w:tcPr>
          <w:p w14:paraId="07F9B3A4">
            <w:pPr>
              <w:pStyle w:val="32"/>
              <w:keepNext w:val="0"/>
              <w:keepLines w:val="0"/>
              <w:widowControl w:val="0"/>
              <w:shd w:val="clear" w:color="auto" w:fill="auto"/>
              <w:bidi w:val="0"/>
              <w:spacing w:before="0" w:after="0" w:line="298" w:lineRule="exact"/>
              <w:ind w:left="0" w:right="0" w:firstLine="0" w:firstLineChars="0"/>
              <w:jc w:val="center"/>
              <w:rPr>
                <w:rFonts w:hint="eastAsia" w:ascii="宋体" w:hAnsi="宋体" w:eastAsia="宋体" w:cs="宋体"/>
                <w:highlight w:val="none"/>
              </w:rPr>
            </w:pPr>
            <w:r>
              <w:rPr>
                <w:rStyle w:val="33"/>
                <w:rFonts w:hint="eastAsia" w:ascii="宋体" w:hAnsi="宋体" w:eastAsia="宋体" w:cs="宋体"/>
                <w:b w:val="0"/>
                <w:bCs w:val="0"/>
                <w:i w:val="0"/>
                <w:iCs w:val="0"/>
                <w:smallCaps w:val="0"/>
                <w:strike w:val="0"/>
                <w:highlight w:val="none"/>
                <w:lang w:val="ja-JP" w:eastAsia="ja-JP" w:bidi="ja-JP"/>
              </w:rPr>
              <w:t>既往案例</w:t>
            </w:r>
          </w:p>
        </w:tc>
        <w:tc>
          <w:tcPr>
            <w:tcW w:w="1337" w:type="dxa"/>
            <w:tcBorders>
              <w:top w:val="single" w:color="auto" w:sz="4" w:space="0"/>
              <w:left w:val="single" w:color="auto" w:sz="4" w:space="0"/>
              <w:bottom w:val="single" w:color="auto" w:sz="4" w:space="0"/>
            </w:tcBorders>
            <w:noWrap w:val="0"/>
            <w:vAlign w:val="center"/>
          </w:tcPr>
          <w:p w14:paraId="17925646">
            <w:pPr>
              <w:pStyle w:val="32"/>
              <w:keepNext w:val="0"/>
              <w:keepLines w:val="0"/>
              <w:widowControl w:val="0"/>
              <w:shd w:val="clear" w:color="auto" w:fill="auto"/>
              <w:bidi w:val="0"/>
              <w:spacing w:before="0" w:after="0" w:line="240" w:lineRule="auto"/>
              <w:ind w:right="0"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0-5</w:t>
            </w:r>
          </w:p>
        </w:tc>
        <w:tc>
          <w:tcPr>
            <w:tcW w:w="4013" w:type="dxa"/>
            <w:tcBorders>
              <w:top w:val="single" w:color="auto" w:sz="4" w:space="0"/>
              <w:left w:val="single" w:color="auto" w:sz="4" w:space="0"/>
              <w:bottom w:val="single" w:color="auto" w:sz="4" w:space="0"/>
              <w:right w:val="single" w:color="auto" w:sz="4" w:space="0"/>
            </w:tcBorders>
            <w:noWrap w:val="0"/>
            <w:vAlign w:val="center"/>
          </w:tcPr>
          <w:p w14:paraId="529A6387">
            <w:pPr>
              <w:pStyle w:val="32"/>
              <w:keepNext w:val="0"/>
              <w:keepLines w:val="0"/>
              <w:widowControl w:val="0"/>
              <w:numPr>
                <w:ilvl w:val="0"/>
                <w:numId w:val="0"/>
              </w:numPr>
              <w:shd w:val="clear" w:color="auto" w:fill="auto"/>
              <w:bidi w:val="0"/>
              <w:spacing w:before="0" w:after="0" w:line="298" w:lineRule="exact"/>
              <w:ind w:leftChars="0" w:right="0" w:rightChars="0"/>
              <w:jc w:val="both"/>
              <w:rPr>
                <w:rFonts w:hint="default" w:ascii="宋体" w:hAnsi="宋体" w:eastAsia="宋体" w:cs="宋体"/>
                <w:i w:val="0"/>
                <w:iCs w:val="0"/>
                <w:caps w:val="0"/>
                <w:color w:val="0F1115"/>
                <w:spacing w:val="0"/>
                <w:sz w:val="22"/>
                <w:szCs w:val="22"/>
                <w:highlight w:val="none"/>
                <w:shd w:val="clear" w:color="auto" w:fill="FFFFFF"/>
                <w:lang w:val="en-US" w:eastAsia="zh-CN"/>
              </w:rPr>
            </w:pPr>
            <w:r>
              <w:rPr>
                <w:rFonts w:hint="eastAsia" w:ascii="宋体" w:hAnsi="宋体" w:eastAsia="宋体" w:cs="宋体"/>
                <w:i w:val="0"/>
                <w:iCs w:val="0"/>
                <w:caps w:val="0"/>
                <w:color w:val="0F1115"/>
                <w:spacing w:val="0"/>
                <w:sz w:val="22"/>
                <w:szCs w:val="22"/>
                <w:highlight w:val="none"/>
                <w:shd w:val="clear" w:color="auto" w:fill="FFFFFF"/>
                <w:lang w:val="en-US" w:eastAsia="zh-CN"/>
              </w:rPr>
              <w:t>近三年（以合同签订时间为准）承担过操作系统软件许可或技术支持服务项目，每提供一个类似项目合同复印件及验收证明的得2.5分，最高得5分；</w:t>
            </w:r>
          </w:p>
        </w:tc>
      </w:tr>
      <w:tr w14:paraId="440408E3">
        <w:tblPrEx>
          <w:tblCellMar>
            <w:top w:w="0" w:type="dxa"/>
            <w:left w:w="10" w:type="dxa"/>
            <w:bottom w:w="0" w:type="dxa"/>
            <w:right w:w="10" w:type="dxa"/>
          </w:tblCellMar>
        </w:tblPrEx>
        <w:trPr>
          <w:trHeight w:val="1839" w:hRule="atLeast"/>
        </w:trPr>
        <w:tc>
          <w:tcPr>
            <w:tcW w:w="1471" w:type="dxa"/>
            <w:vMerge w:val="restart"/>
            <w:tcBorders>
              <w:top w:val="single" w:color="auto" w:sz="4" w:space="0"/>
              <w:left w:val="single" w:color="auto" w:sz="4" w:space="0"/>
              <w:right w:val="single" w:color="auto" w:sz="4" w:space="0"/>
            </w:tcBorders>
            <w:noWrap w:val="0"/>
            <w:vAlign w:val="center"/>
          </w:tcPr>
          <w:p w14:paraId="6EA1FFDE">
            <w:pPr>
              <w:pStyle w:val="32"/>
              <w:keepNext w:val="0"/>
              <w:keepLines w:val="0"/>
              <w:widowControl w:val="0"/>
              <w:shd w:val="clear" w:color="auto" w:fill="auto"/>
              <w:bidi w:val="0"/>
              <w:spacing w:before="0" w:after="0" w:line="281" w:lineRule="exact"/>
              <w:ind w:left="0" w:right="0" w:firstLine="0"/>
              <w:jc w:val="center"/>
              <w:rPr>
                <w:rFonts w:hint="eastAsia" w:ascii="宋体" w:hAnsi="宋体" w:eastAsia="宋体" w:cs="宋体"/>
                <w:sz w:val="24"/>
                <w:szCs w:val="24"/>
              </w:rPr>
            </w:pPr>
            <w:r>
              <w:rPr>
                <w:rStyle w:val="33"/>
                <w:rFonts w:hint="eastAsia" w:ascii="宋体" w:hAnsi="宋体" w:eastAsia="宋体" w:cs="宋体"/>
                <w:b w:val="0"/>
                <w:bCs w:val="0"/>
                <w:i w:val="0"/>
                <w:iCs w:val="0"/>
                <w:smallCaps w:val="0"/>
                <w:strike w:val="0"/>
              </w:rPr>
              <w:t>技</w:t>
            </w:r>
            <w:r>
              <w:rPr>
                <w:rStyle w:val="33"/>
                <w:rFonts w:hint="eastAsia" w:ascii="宋体" w:hAnsi="宋体" w:eastAsia="宋体" w:cs="宋体"/>
                <w:b w:val="0"/>
                <w:bCs w:val="0"/>
                <w:i w:val="0"/>
                <w:iCs w:val="0"/>
                <w:smallCaps w:val="0"/>
                <w:strike w:val="0"/>
                <w:lang w:val="ja-JP" w:eastAsia="ja-JP" w:bidi="ja-JP"/>
              </w:rPr>
              <w:t xml:space="preserve">术 </w:t>
            </w:r>
            <w:r>
              <w:rPr>
                <w:rStyle w:val="33"/>
                <w:rFonts w:hint="eastAsia" w:ascii="宋体" w:hAnsi="宋体" w:eastAsia="宋体" w:cs="宋体"/>
                <w:b w:val="0"/>
                <w:bCs w:val="0"/>
                <w:i w:val="0"/>
                <w:iCs w:val="0"/>
                <w:smallCaps w:val="0"/>
                <w:strike w:val="0"/>
              </w:rPr>
              <w:t>(</w:t>
            </w:r>
            <w:r>
              <w:rPr>
                <w:rStyle w:val="33"/>
                <w:rFonts w:hint="eastAsia" w:ascii="宋体" w:hAnsi="宋体" w:eastAsia="宋体" w:cs="宋体"/>
                <w:b w:val="0"/>
                <w:bCs w:val="0"/>
                <w:i w:val="0"/>
                <w:iCs w:val="0"/>
                <w:smallCaps w:val="0"/>
                <w:strike w:val="0"/>
                <w:lang w:val="en-US" w:eastAsia="zh-CN"/>
              </w:rPr>
              <w:t>50分</w:t>
            </w:r>
            <w:r>
              <w:rPr>
                <w:rStyle w:val="33"/>
                <w:rFonts w:hint="eastAsia" w:ascii="宋体" w:hAnsi="宋体" w:eastAsia="宋体" w:cs="宋体"/>
                <w:b w:val="0"/>
                <w:bCs w:val="0"/>
                <w:i w:val="0"/>
                <w:iCs w:val="0"/>
                <w:smallCaps w:val="0"/>
                <w:strike w:val="0"/>
                <w:sz w:val="24"/>
                <w:szCs w:val="24"/>
                <w:lang w:val="ja-JP" w:eastAsia="ja-JP" w:bidi="ja-JP"/>
              </w:rPr>
              <w:t>)</w:t>
            </w:r>
          </w:p>
        </w:tc>
        <w:tc>
          <w:tcPr>
            <w:tcW w:w="1438" w:type="dxa"/>
            <w:tcBorders>
              <w:top w:val="single" w:color="auto" w:sz="4" w:space="0"/>
              <w:left w:val="single" w:color="auto" w:sz="4" w:space="0"/>
              <w:bottom w:val="single" w:color="auto" w:sz="4" w:space="0"/>
              <w:right w:val="single" w:color="auto" w:sz="4" w:space="0"/>
            </w:tcBorders>
            <w:noWrap w:val="0"/>
            <w:vAlign w:val="center"/>
          </w:tcPr>
          <w:p w14:paraId="3E3878E1">
            <w:pPr>
              <w:pStyle w:val="32"/>
              <w:keepNext w:val="0"/>
              <w:keepLines w:val="0"/>
              <w:widowControl w:val="0"/>
              <w:shd w:val="clear" w:color="auto" w:fill="auto"/>
              <w:bidi w:val="0"/>
              <w:spacing w:before="0" w:after="0" w:line="298" w:lineRule="exact"/>
              <w:ind w:left="0" w:right="0" w:firstLine="0"/>
              <w:jc w:val="center"/>
              <w:rPr>
                <w:rFonts w:hint="default" w:ascii="宋体" w:hAnsi="宋体" w:eastAsia="宋体" w:cs="宋体"/>
                <w:lang w:val="en-US" w:eastAsia="zh-CN"/>
              </w:rPr>
            </w:pPr>
            <w:r>
              <w:rPr>
                <w:rFonts w:hint="eastAsia" w:ascii="宋体" w:hAnsi="宋体" w:eastAsia="宋体" w:cs="宋体"/>
                <w:lang w:val="en-US" w:eastAsia="zh-CN"/>
              </w:rPr>
              <w:t>技术参数</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3B1F2613">
            <w:pPr>
              <w:pStyle w:val="32"/>
              <w:keepNext w:val="0"/>
              <w:keepLines w:val="0"/>
              <w:widowControl w:val="0"/>
              <w:shd w:val="clear" w:color="auto" w:fill="auto"/>
              <w:bidi w:val="0"/>
              <w:spacing w:before="0" w:after="0" w:line="240" w:lineRule="auto"/>
              <w:ind w:left="0" w:right="0" w:firstLine="0"/>
              <w:jc w:val="center"/>
              <w:rPr>
                <w:rFonts w:hint="default" w:ascii="宋体" w:hAnsi="宋体" w:eastAsia="宋体" w:cs="宋体"/>
                <w:sz w:val="24"/>
                <w:szCs w:val="24"/>
                <w:lang w:val="en-US" w:eastAsia="zh-CN"/>
              </w:rPr>
            </w:pPr>
            <w:r>
              <w:rPr>
                <w:rStyle w:val="33"/>
                <w:rFonts w:hint="eastAsia" w:ascii="宋体" w:hAnsi="宋体" w:eastAsia="宋体" w:cs="宋体"/>
                <w:b w:val="0"/>
                <w:bCs w:val="0"/>
                <w:i w:val="0"/>
                <w:iCs w:val="0"/>
                <w:smallCaps w:val="0"/>
                <w:strike w:val="0"/>
                <w:sz w:val="24"/>
                <w:szCs w:val="24"/>
                <w:lang w:val="en-US" w:eastAsia="zh-CN"/>
              </w:rPr>
              <w:t>0-12</w:t>
            </w:r>
          </w:p>
        </w:tc>
        <w:tc>
          <w:tcPr>
            <w:tcW w:w="4013" w:type="dxa"/>
            <w:tcBorders>
              <w:top w:val="single" w:color="auto" w:sz="4" w:space="0"/>
              <w:left w:val="single" w:color="auto" w:sz="4" w:space="0"/>
              <w:bottom w:val="single" w:color="auto" w:sz="4" w:space="0"/>
              <w:right w:val="single" w:color="auto" w:sz="4" w:space="0"/>
            </w:tcBorders>
            <w:noWrap w:val="0"/>
            <w:vAlign w:val="center"/>
          </w:tcPr>
          <w:p w14:paraId="05A4716B">
            <w:pPr>
              <w:widowControl w:val="0"/>
              <w:shd w:val="clear" w:color="auto" w:fill="auto"/>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pP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完全达到或优于磋商文件要求：9</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-1</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2分；</w:t>
            </w:r>
          </w:p>
          <w:p w14:paraId="21961DF6">
            <w:pPr>
              <w:widowControl w:val="0"/>
              <w:shd w:val="clear" w:color="auto" w:fill="auto"/>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pP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较好达到</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磋商文件</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要求：</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5</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8分；</w:t>
            </w:r>
          </w:p>
          <w:p w14:paraId="58626EB1">
            <w:pPr>
              <w:widowControl w:val="0"/>
              <w:shd w:val="clear" w:color="auto" w:fill="auto"/>
              <w:rPr>
                <w:rFonts w:hint="eastAsia" w:ascii="宋体" w:hAnsi="宋体" w:eastAsia="宋体" w:cs="宋体"/>
              </w:rPr>
            </w:pP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基本达到</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磋商文件</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要求：</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0-</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4分</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w:t>
            </w:r>
          </w:p>
        </w:tc>
      </w:tr>
      <w:tr w14:paraId="1A8D199B">
        <w:tblPrEx>
          <w:tblCellMar>
            <w:top w:w="0" w:type="dxa"/>
            <w:left w:w="10" w:type="dxa"/>
            <w:bottom w:w="0" w:type="dxa"/>
            <w:right w:w="10" w:type="dxa"/>
          </w:tblCellMar>
        </w:tblPrEx>
        <w:trPr>
          <w:trHeight w:val="1430" w:hRule="atLeast"/>
        </w:trPr>
        <w:tc>
          <w:tcPr>
            <w:tcW w:w="1471" w:type="dxa"/>
            <w:vMerge w:val="continue"/>
            <w:tcBorders>
              <w:left w:val="single" w:color="auto" w:sz="4" w:space="0"/>
              <w:bottom w:val="single" w:color="auto" w:sz="4" w:space="0"/>
              <w:right w:val="single" w:color="auto" w:sz="4" w:space="0"/>
            </w:tcBorders>
            <w:noWrap w:val="0"/>
            <w:vAlign w:val="center"/>
          </w:tcPr>
          <w:p w14:paraId="57617727">
            <w:pPr>
              <w:pStyle w:val="32"/>
              <w:keepNext w:val="0"/>
              <w:keepLines w:val="0"/>
              <w:widowControl w:val="0"/>
              <w:shd w:val="clear" w:color="auto" w:fill="auto"/>
              <w:bidi w:val="0"/>
              <w:spacing w:before="0" w:after="0" w:line="298" w:lineRule="exact"/>
              <w:ind w:left="0" w:right="0" w:firstLine="0"/>
              <w:jc w:val="center"/>
            </w:pPr>
          </w:p>
        </w:tc>
        <w:tc>
          <w:tcPr>
            <w:tcW w:w="1438" w:type="dxa"/>
            <w:tcBorders>
              <w:top w:val="single" w:color="auto" w:sz="4" w:space="0"/>
              <w:left w:val="single" w:color="auto" w:sz="4" w:space="0"/>
              <w:bottom w:val="single" w:color="auto" w:sz="4" w:space="0"/>
              <w:right w:val="single" w:color="auto" w:sz="4" w:space="0"/>
            </w:tcBorders>
            <w:noWrap w:val="0"/>
            <w:vAlign w:val="center"/>
          </w:tcPr>
          <w:p w14:paraId="56CDB3C2">
            <w:pPr>
              <w:pStyle w:val="32"/>
              <w:keepNext w:val="0"/>
              <w:keepLines w:val="0"/>
              <w:widowControl w:val="0"/>
              <w:shd w:val="clear" w:color="auto" w:fill="auto"/>
              <w:bidi w:val="0"/>
              <w:spacing w:before="0" w:after="0" w:line="298" w:lineRule="exact"/>
              <w:ind w:left="0" w:leftChars="0" w:right="0" w:rightChars="0" w:firstLine="0" w:firstLineChars="0"/>
              <w:jc w:val="center"/>
              <w:rPr>
                <w:rStyle w:val="33"/>
                <w:rFonts w:hint="eastAsia" w:ascii="宋体" w:hAnsi="宋体" w:eastAsia="宋体" w:cs="宋体"/>
                <w:b w:val="0"/>
                <w:bCs w:val="0"/>
                <w:i w:val="0"/>
                <w:iCs w:val="0"/>
                <w:smallCaps w:val="0"/>
                <w:strike w:val="0"/>
                <w:lang w:val="ja-JP" w:eastAsia="zh-CN" w:bidi="ja-JP"/>
              </w:rPr>
            </w:pPr>
            <w:r>
              <w:rPr>
                <w:rStyle w:val="33"/>
                <w:rFonts w:hint="eastAsia" w:ascii="宋体" w:hAnsi="宋体" w:eastAsia="宋体" w:cs="宋体"/>
                <w:b w:val="0"/>
                <w:bCs w:val="0"/>
                <w:i w:val="0"/>
                <w:iCs w:val="0"/>
                <w:smallCaps w:val="0"/>
                <w:strike w:val="0"/>
              </w:rPr>
              <w:t>服务</w:t>
            </w:r>
            <w:r>
              <w:rPr>
                <w:rStyle w:val="33"/>
                <w:rFonts w:hint="eastAsia" w:ascii="宋体" w:hAnsi="宋体" w:eastAsia="宋体" w:cs="宋体"/>
                <w:b w:val="0"/>
                <w:bCs w:val="0"/>
                <w:i w:val="0"/>
                <w:iCs w:val="0"/>
                <w:smallCaps w:val="0"/>
                <w:strike w:val="0"/>
                <w:lang w:eastAsia="zh-CN"/>
              </w:rPr>
              <w:t>方案</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4637CAF4">
            <w:pPr>
              <w:pStyle w:val="32"/>
              <w:keepNext w:val="0"/>
              <w:keepLines w:val="0"/>
              <w:widowControl w:val="0"/>
              <w:shd w:val="clear" w:color="auto" w:fill="auto"/>
              <w:bidi w:val="0"/>
              <w:spacing w:before="0" w:after="0" w:line="240" w:lineRule="auto"/>
              <w:ind w:left="0" w:leftChars="0" w:right="0" w:rightChars="0" w:firstLine="0" w:firstLineChars="0"/>
              <w:jc w:val="center"/>
              <w:rPr>
                <w:rStyle w:val="33"/>
                <w:rFonts w:hint="eastAsia" w:ascii="宋体" w:hAnsi="宋体" w:eastAsia="宋体" w:cs="宋体"/>
                <w:b w:val="0"/>
                <w:bCs w:val="0"/>
                <w:i w:val="0"/>
                <w:iCs w:val="0"/>
                <w:smallCaps w:val="0"/>
                <w:strike w:val="0"/>
                <w:lang w:val="ja-JP" w:eastAsia="ja-JP" w:bidi="ja-JP"/>
              </w:rPr>
            </w:pPr>
            <w:r>
              <w:rPr>
                <w:rStyle w:val="33"/>
                <w:rFonts w:hint="eastAsia" w:ascii="宋体" w:hAnsi="宋体" w:eastAsia="宋体" w:cs="宋体"/>
                <w:b w:val="0"/>
                <w:bCs w:val="0"/>
                <w:i w:val="0"/>
                <w:iCs w:val="0"/>
                <w:smallCaps w:val="0"/>
                <w:strike w:val="0"/>
                <w:sz w:val="24"/>
                <w:szCs w:val="24"/>
                <w:lang w:val="en-US" w:eastAsia="zh-CN"/>
              </w:rPr>
              <w:t>0-10</w:t>
            </w:r>
          </w:p>
        </w:tc>
        <w:tc>
          <w:tcPr>
            <w:tcW w:w="4013" w:type="dxa"/>
            <w:tcBorders>
              <w:top w:val="single" w:color="auto" w:sz="4" w:space="0"/>
              <w:left w:val="single" w:color="auto" w:sz="4" w:space="0"/>
              <w:bottom w:val="single" w:color="auto" w:sz="4" w:space="0"/>
              <w:right w:val="single" w:color="auto" w:sz="4" w:space="0"/>
            </w:tcBorders>
            <w:noWrap w:val="0"/>
            <w:vAlign w:val="center"/>
          </w:tcPr>
          <w:p w14:paraId="60A0864F">
            <w:pPr>
              <w:widowControl w:val="0"/>
              <w:shd w:val="clear" w:color="auto" w:fill="auto"/>
              <w:rPr>
                <w:rStyle w:val="33"/>
                <w:rFonts w:hint="eastAsia" w:ascii="宋体" w:hAnsi="宋体" w:eastAsia="宋体" w:cs="宋体"/>
                <w:b w:val="0"/>
                <w:bCs w:val="0"/>
                <w:i w:val="0"/>
                <w:iCs w:val="0"/>
                <w:smallCaps w:val="0"/>
                <w:strike w:val="0"/>
                <w:lang w:val="ja-JP" w:eastAsia="ja-JP" w:bidi="ja-JP"/>
              </w:rPr>
            </w:pP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完全达到或优于磋商文件要求：8-10分；</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较好达到</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磋商文件</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要求：5-7分；</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基本达到</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磋商文件</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要求：</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0</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-4分</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w:t>
            </w:r>
          </w:p>
        </w:tc>
      </w:tr>
      <w:tr w14:paraId="6C0FFE5A">
        <w:tblPrEx>
          <w:tblCellMar>
            <w:top w:w="0" w:type="dxa"/>
            <w:left w:w="10" w:type="dxa"/>
            <w:bottom w:w="0" w:type="dxa"/>
            <w:right w:w="10" w:type="dxa"/>
          </w:tblCellMar>
        </w:tblPrEx>
        <w:trPr>
          <w:trHeight w:val="1523" w:hRule="exact"/>
        </w:trPr>
        <w:tc>
          <w:tcPr>
            <w:tcW w:w="1471" w:type="dxa"/>
            <w:vMerge w:val="continue"/>
            <w:tcBorders>
              <w:top w:val="single" w:color="auto" w:sz="4" w:space="0"/>
              <w:left w:val="single" w:color="auto" w:sz="4" w:space="0"/>
              <w:bottom w:val="single" w:color="auto" w:sz="4" w:space="0"/>
              <w:right w:val="single" w:color="auto" w:sz="4" w:space="0"/>
            </w:tcBorders>
            <w:noWrap w:val="0"/>
            <w:vAlign w:val="center"/>
          </w:tcPr>
          <w:p w14:paraId="6E8B8468">
            <w:pPr>
              <w:rPr>
                <w:rFonts w:hint="eastAsia" w:ascii="宋体" w:hAnsi="宋体" w:eastAsia="宋体" w:cs="宋体"/>
              </w:rPr>
            </w:pPr>
          </w:p>
        </w:tc>
        <w:tc>
          <w:tcPr>
            <w:tcW w:w="1438" w:type="dxa"/>
            <w:tcBorders>
              <w:top w:val="single" w:color="auto" w:sz="4" w:space="0"/>
              <w:left w:val="single" w:color="auto" w:sz="4" w:space="0"/>
              <w:bottom w:val="single" w:color="auto" w:sz="4" w:space="0"/>
              <w:right w:val="single" w:color="auto" w:sz="4" w:space="0"/>
            </w:tcBorders>
            <w:noWrap w:val="0"/>
            <w:vAlign w:val="center"/>
          </w:tcPr>
          <w:p w14:paraId="5E94B9F6">
            <w:pPr>
              <w:pStyle w:val="32"/>
              <w:keepNext w:val="0"/>
              <w:keepLines w:val="0"/>
              <w:widowControl w:val="0"/>
              <w:shd w:val="clear" w:color="auto" w:fill="auto"/>
              <w:bidi w:val="0"/>
              <w:spacing w:before="0" w:after="0" w:line="298" w:lineRule="exact"/>
              <w:ind w:left="0" w:right="0" w:firstLine="0"/>
              <w:jc w:val="center"/>
              <w:rPr>
                <w:rFonts w:hint="eastAsia" w:ascii="宋体" w:hAnsi="宋体" w:eastAsia="宋体" w:cs="宋体"/>
                <w:highlight w:val="none"/>
              </w:rPr>
            </w:pPr>
            <w:r>
              <w:rPr>
                <w:rStyle w:val="33"/>
                <w:rFonts w:hint="eastAsia" w:ascii="宋体" w:hAnsi="宋体" w:eastAsia="宋体" w:cs="宋体"/>
                <w:b w:val="0"/>
                <w:bCs w:val="0"/>
                <w:i w:val="0"/>
                <w:iCs w:val="0"/>
                <w:smallCaps w:val="0"/>
                <w:strike w:val="0"/>
                <w:highlight w:val="none"/>
                <w:lang w:val="ja-JP" w:eastAsia="zh-CN" w:bidi="ja-JP"/>
              </w:rPr>
              <w:t>售后服务</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5C89FA22">
            <w:pPr>
              <w:pStyle w:val="32"/>
              <w:keepNext w:val="0"/>
              <w:keepLines w:val="0"/>
              <w:widowControl w:val="0"/>
              <w:shd w:val="clear" w:color="auto" w:fill="auto"/>
              <w:bidi w:val="0"/>
              <w:spacing w:before="0" w:after="0" w:line="240" w:lineRule="auto"/>
              <w:ind w:left="0" w:right="0" w:firstLine="0"/>
              <w:jc w:val="center"/>
              <w:rPr>
                <w:rFonts w:hint="default" w:ascii="宋体" w:hAnsi="宋体" w:eastAsia="宋体" w:cs="宋体"/>
                <w:sz w:val="24"/>
                <w:szCs w:val="24"/>
                <w:highlight w:val="none"/>
                <w:lang w:val="en-US" w:eastAsia="zh-CN"/>
              </w:rPr>
            </w:pPr>
            <w:r>
              <w:rPr>
                <w:rStyle w:val="33"/>
                <w:rFonts w:hint="eastAsia" w:ascii="宋体" w:hAnsi="宋体" w:eastAsia="宋体" w:cs="宋体"/>
                <w:b w:val="0"/>
                <w:bCs w:val="0"/>
                <w:i w:val="0"/>
                <w:iCs w:val="0"/>
                <w:smallCaps w:val="0"/>
                <w:strike w:val="0"/>
                <w:sz w:val="24"/>
                <w:szCs w:val="24"/>
                <w:highlight w:val="none"/>
                <w:lang w:val="en-US" w:eastAsia="zh-CN"/>
              </w:rPr>
              <w:t>0-10</w:t>
            </w:r>
          </w:p>
        </w:tc>
        <w:tc>
          <w:tcPr>
            <w:tcW w:w="4013" w:type="dxa"/>
            <w:tcBorders>
              <w:top w:val="single" w:color="auto" w:sz="4" w:space="0"/>
              <w:left w:val="single" w:color="auto" w:sz="4" w:space="0"/>
              <w:bottom w:val="single" w:color="auto" w:sz="4" w:space="0"/>
              <w:right w:val="single" w:color="auto" w:sz="4" w:space="0"/>
            </w:tcBorders>
            <w:noWrap w:val="0"/>
            <w:vAlign w:val="center"/>
          </w:tcPr>
          <w:p w14:paraId="533842A2">
            <w:pPr>
              <w:widowControl w:val="0"/>
              <w:shd w:val="clear" w:color="auto" w:fill="auto"/>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pP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完全达到或优于磋商文件要求：9</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-1</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0分；</w:t>
            </w:r>
          </w:p>
          <w:p w14:paraId="3200E97E">
            <w:pPr>
              <w:widowControl w:val="0"/>
              <w:shd w:val="clear" w:color="auto" w:fill="auto"/>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pP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较好达到</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磋商文件</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要求：</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6</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8分；</w:t>
            </w:r>
          </w:p>
          <w:p w14:paraId="7088F5DB">
            <w:pPr>
              <w:widowControl w:val="0"/>
              <w:shd w:val="clear" w:color="auto" w:fill="auto"/>
              <w:rPr>
                <w:rFonts w:hint="eastAsia" w:ascii="宋体" w:hAnsi="宋体" w:eastAsia="宋体" w:cs="宋体"/>
                <w:highlight w:val="none"/>
              </w:rPr>
            </w:pP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基本达到</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磋商文件</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要求：</w:t>
            </w:r>
            <w:r>
              <w:rPr>
                <w:rFonts w:hint="default" w:ascii="宋体" w:hAnsi="宋体" w:eastAsia="宋体" w:cs="宋体"/>
                <w:i w:val="0"/>
                <w:iCs w:val="0"/>
                <w:caps w:val="0"/>
                <w:color w:val="0F1115"/>
                <w:spacing w:val="0"/>
                <w:w w:val="100"/>
                <w:position w:val="0"/>
                <w:sz w:val="22"/>
                <w:szCs w:val="22"/>
                <w:highlight w:val="none"/>
                <w:u w:val="none"/>
                <w:shd w:val="clear" w:color="auto" w:fill="FFFFFF"/>
                <w:lang w:val="en-US" w:eastAsia="zh" w:bidi="ko-KR"/>
              </w:rPr>
              <w:t>0-5</w:t>
            </w:r>
            <w:r>
              <w:rPr>
                <w:rFonts w:hint="eastAsia" w:ascii="宋体" w:hAnsi="宋体" w:eastAsia="宋体" w:cs="宋体"/>
                <w:i w:val="0"/>
                <w:iCs w:val="0"/>
                <w:caps w:val="0"/>
                <w:color w:val="0F1115"/>
                <w:spacing w:val="0"/>
                <w:w w:val="100"/>
                <w:position w:val="0"/>
                <w:sz w:val="22"/>
                <w:szCs w:val="22"/>
                <w:highlight w:val="none"/>
                <w:u w:val="none"/>
                <w:shd w:val="clear" w:color="auto" w:fill="FFFFFF"/>
                <w:lang w:val="en-US" w:eastAsia="zh-CN" w:bidi="ko-KR"/>
              </w:rPr>
              <w:t>分。</w:t>
            </w:r>
          </w:p>
        </w:tc>
      </w:tr>
      <w:tr w14:paraId="3EAAC3FC">
        <w:tblPrEx>
          <w:tblCellMar>
            <w:top w:w="0" w:type="dxa"/>
            <w:left w:w="10" w:type="dxa"/>
            <w:bottom w:w="0" w:type="dxa"/>
            <w:right w:w="10" w:type="dxa"/>
          </w:tblCellMar>
        </w:tblPrEx>
        <w:trPr>
          <w:trHeight w:val="2112" w:hRule="exact"/>
        </w:trPr>
        <w:tc>
          <w:tcPr>
            <w:tcW w:w="1471" w:type="dxa"/>
            <w:vMerge w:val="continue"/>
            <w:tcBorders>
              <w:top w:val="single" w:color="auto" w:sz="4" w:space="0"/>
              <w:left w:val="single" w:color="auto" w:sz="4" w:space="0"/>
              <w:bottom w:val="single" w:color="auto" w:sz="4" w:space="0"/>
              <w:right w:val="single" w:color="auto" w:sz="4" w:space="0"/>
            </w:tcBorders>
            <w:noWrap w:val="0"/>
            <w:vAlign w:val="center"/>
          </w:tcPr>
          <w:p w14:paraId="0978E69B">
            <w:pPr>
              <w:rPr>
                <w:rFonts w:hint="eastAsia" w:ascii="宋体" w:hAnsi="宋体" w:eastAsia="宋体" w:cs="宋体"/>
              </w:rPr>
            </w:pPr>
          </w:p>
        </w:tc>
        <w:tc>
          <w:tcPr>
            <w:tcW w:w="1438" w:type="dxa"/>
            <w:tcBorders>
              <w:top w:val="single" w:color="auto" w:sz="4" w:space="0"/>
              <w:left w:val="single" w:color="auto" w:sz="4" w:space="0"/>
              <w:bottom w:val="single" w:color="auto" w:sz="4" w:space="0"/>
              <w:right w:val="single" w:color="auto" w:sz="4" w:space="0"/>
            </w:tcBorders>
            <w:noWrap w:val="0"/>
            <w:vAlign w:val="center"/>
          </w:tcPr>
          <w:p w14:paraId="42D1B652">
            <w:pPr>
              <w:pStyle w:val="32"/>
              <w:keepNext w:val="0"/>
              <w:keepLines w:val="0"/>
              <w:widowControl w:val="0"/>
              <w:shd w:val="clear" w:color="auto" w:fill="auto"/>
              <w:bidi w:val="0"/>
              <w:spacing w:before="0" w:after="0" w:line="298" w:lineRule="exact"/>
              <w:ind w:left="0" w:right="0" w:firstLine="0"/>
              <w:jc w:val="center"/>
              <w:rPr>
                <w:rFonts w:hint="eastAsia" w:ascii="宋体" w:hAnsi="宋体" w:eastAsia="宋体" w:cs="宋体"/>
              </w:rPr>
            </w:pPr>
            <w:r>
              <w:rPr>
                <w:rStyle w:val="33"/>
                <w:rFonts w:hint="eastAsia" w:ascii="宋体" w:hAnsi="宋体" w:eastAsia="宋体" w:cs="宋体"/>
                <w:b w:val="0"/>
                <w:bCs w:val="0"/>
                <w:i w:val="0"/>
                <w:iCs w:val="0"/>
                <w:smallCaps w:val="0"/>
                <w:strike w:val="0"/>
              </w:rPr>
              <w:t>服务团队</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179F7A0B">
            <w:pPr>
              <w:pStyle w:val="32"/>
              <w:keepNext w:val="0"/>
              <w:keepLines w:val="0"/>
              <w:widowControl w:val="0"/>
              <w:shd w:val="clear" w:color="auto" w:fill="auto"/>
              <w:bidi w:val="0"/>
              <w:spacing w:before="0" w:after="0" w:line="240" w:lineRule="auto"/>
              <w:ind w:left="0" w:right="0" w:firstLine="0"/>
              <w:jc w:val="center"/>
              <w:rPr>
                <w:rFonts w:hint="eastAsia" w:ascii="宋体" w:hAnsi="宋体" w:eastAsia="宋体" w:cs="宋体"/>
                <w:sz w:val="24"/>
                <w:szCs w:val="24"/>
              </w:rPr>
            </w:pPr>
            <w:r>
              <w:rPr>
                <w:rStyle w:val="33"/>
                <w:rFonts w:hint="eastAsia" w:ascii="宋体" w:hAnsi="宋体" w:eastAsia="宋体" w:cs="宋体"/>
                <w:b w:val="0"/>
                <w:bCs w:val="0"/>
                <w:i w:val="0"/>
                <w:iCs w:val="0"/>
                <w:smallCaps w:val="0"/>
                <w:strike w:val="0"/>
                <w:sz w:val="24"/>
                <w:szCs w:val="24"/>
                <w:lang w:val="en-US" w:eastAsia="zh-CN"/>
              </w:rPr>
              <w:t>0-10</w:t>
            </w:r>
          </w:p>
        </w:tc>
        <w:tc>
          <w:tcPr>
            <w:tcW w:w="4013" w:type="dxa"/>
            <w:tcBorders>
              <w:top w:val="single" w:color="auto" w:sz="4" w:space="0"/>
              <w:left w:val="single" w:color="auto" w:sz="4" w:space="0"/>
              <w:bottom w:val="single" w:color="auto" w:sz="4" w:space="0"/>
              <w:right w:val="single" w:color="auto" w:sz="4" w:space="0"/>
            </w:tcBorders>
            <w:noWrap w:val="0"/>
            <w:vAlign w:val="center"/>
          </w:tcPr>
          <w:p w14:paraId="670F7943">
            <w:pPr>
              <w:widowControl w:val="0"/>
              <w:shd w:val="clear" w:color="auto" w:fill="auto"/>
              <w:rPr>
                <w:rFonts w:hint="eastAsia" w:ascii="宋体" w:hAnsi="宋体" w:eastAsia="宋体" w:cs="宋体"/>
              </w:rPr>
            </w:pPr>
            <w:r>
              <w:rPr>
                <w:rFonts w:hint="eastAsia" w:ascii="宋体" w:hAnsi="宋体" w:eastAsia="宋体" w:cs="宋体"/>
                <w:i w:val="0"/>
                <w:iCs w:val="0"/>
                <w:caps w:val="0"/>
                <w:color w:val="0F1115"/>
                <w:spacing w:val="0"/>
                <w:w w:val="100"/>
                <w:position w:val="0"/>
                <w:sz w:val="22"/>
                <w:szCs w:val="22"/>
                <w:u w:val="none"/>
                <w:shd w:val="clear" w:color="auto" w:fill="FFFFFF"/>
                <w:lang w:val="en-US" w:eastAsia="zh-CN" w:bidi="ko-KR"/>
              </w:rPr>
              <w:t>承诺为本项目配置至少2名具有麒麟操作系统或Linux相关认证的现场技术支持工程师，并提供人员简历及社保证明：8-10分；</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承诺配置1名：4-7分；</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未配置或人员资质不满足要求：0-3分。</w:t>
            </w:r>
          </w:p>
        </w:tc>
      </w:tr>
      <w:tr w14:paraId="38E21067">
        <w:tblPrEx>
          <w:tblCellMar>
            <w:top w:w="0" w:type="dxa"/>
            <w:left w:w="10" w:type="dxa"/>
            <w:bottom w:w="0" w:type="dxa"/>
            <w:right w:w="10" w:type="dxa"/>
          </w:tblCellMar>
        </w:tblPrEx>
        <w:trPr>
          <w:trHeight w:val="1715" w:hRule="exact"/>
        </w:trPr>
        <w:tc>
          <w:tcPr>
            <w:tcW w:w="1471" w:type="dxa"/>
            <w:vMerge w:val="continue"/>
            <w:tcBorders>
              <w:top w:val="single" w:color="auto" w:sz="4" w:space="0"/>
              <w:left w:val="single" w:color="auto" w:sz="4" w:space="0"/>
            </w:tcBorders>
            <w:noWrap w:val="0"/>
            <w:vAlign w:val="center"/>
          </w:tcPr>
          <w:p w14:paraId="32478A5B">
            <w:pPr>
              <w:rPr>
                <w:rFonts w:hint="eastAsia" w:ascii="宋体" w:hAnsi="宋体" w:eastAsia="宋体" w:cs="宋体"/>
              </w:rPr>
            </w:pPr>
          </w:p>
        </w:tc>
        <w:tc>
          <w:tcPr>
            <w:tcW w:w="1438" w:type="dxa"/>
            <w:tcBorders>
              <w:top w:val="single" w:color="auto" w:sz="4" w:space="0"/>
              <w:left w:val="single" w:color="auto" w:sz="4" w:space="0"/>
            </w:tcBorders>
            <w:noWrap w:val="0"/>
            <w:vAlign w:val="center"/>
          </w:tcPr>
          <w:p w14:paraId="2DE9C28D">
            <w:pPr>
              <w:pStyle w:val="32"/>
              <w:keepNext w:val="0"/>
              <w:keepLines w:val="0"/>
              <w:widowControl w:val="0"/>
              <w:shd w:val="clear" w:color="auto" w:fill="auto"/>
              <w:bidi w:val="0"/>
              <w:spacing w:before="0" w:after="0" w:line="298" w:lineRule="exact"/>
              <w:ind w:left="0" w:right="0" w:firstLine="0"/>
              <w:jc w:val="center"/>
              <w:rPr>
                <w:rFonts w:hint="eastAsia" w:ascii="宋体" w:hAnsi="宋体" w:eastAsia="宋体" w:cs="宋体"/>
                <w:lang w:eastAsia="zh-CN"/>
              </w:rPr>
            </w:pPr>
            <w:r>
              <w:rPr>
                <w:rStyle w:val="33"/>
                <w:rFonts w:hint="eastAsia" w:ascii="宋体" w:hAnsi="宋体" w:eastAsia="宋体" w:cs="宋体"/>
                <w:b w:val="0"/>
                <w:bCs w:val="0"/>
                <w:i w:val="0"/>
                <w:iCs w:val="0"/>
                <w:smallCaps w:val="0"/>
                <w:strike w:val="0"/>
                <w:lang w:val="ja-JP" w:eastAsia="ja-JP" w:bidi="ja-JP"/>
              </w:rPr>
              <w:t>服务保障能</w:t>
            </w:r>
            <w:r>
              <w:rPr>
                <w:rStyle w:val="33"/>
                <w:rFonts w:hint="eastAsia" w:ascii="宋体" w:hAnsi="宋体" w:eastAsia="宋体" w:cs="宋体"/>
                <w:b w:val="0"/>
                <w:bCs w:val="0"/>
                <w:i w:val="0"/>
                <w:iCs w:val="0"/>
                <w:smallCaps w:val="0"/>
                <w:strike w:val="0"/>
                <w:lang w:val="ja-JP" w:eastAsia="zh-CN" w:bidi="ja-JP"/>
              </w:rPr>
              <w:t>力</w:t>
            </w:r>
          </w:p>
        </w:tc>
        <w:tc>
          <w:tcPr>
            <w:tcW w:w="1337" w:type="dxa"/>
            <w:tcBorders>
              <w:top w:val="single" w:color="auto" w:sz="4" w:space="0"/>
              <w:left w:val="single" w:color="auto" w:sz="4" w:space="0"/>
            </w:tcBorders>
            <w:noWrap w:val="0"/>
            <w:vAlign w:val="center"/>
          </w:tcPr>
          <w:p w14:paraId="387277B2">
            <w:pPr>
              <w:pStyle w:val="32"/>
              <w:keepNext w:val="0"/>
              <w:keepLines w:val="0"/>
              <w:widowControl w:val="0"/>
              <w:shd w:val="clear" w:color="auto" w:fill="auto"/>
              <w:bidi w:val="0"/>
              <w:spacing w:before="0" w:after="0" w:line="240" w:lineRule="auto"/>
              <w:ind w:right="0" w:firstLine="0" w:firstLineChars="0"/>
              <w:jc w:val="center"/>
              <w:rPr>
                <w:rFonts w:hint="default" w:ascii="宋体" w:hAnsi="宋体" w:eastAsia="宋体" w:cs="宋体"/>
                <w:sz w:val="24"/>
                <w:szCs w:val="24"/>
                <w:lang w:val="en-US" w:eastAsia="zh-CN"/>
              </w:rPr>
            </w:pPr>
            <w:r>
              <w:rPr>
                <w:rStyle w:val="33"/>
                <w:rFonts w:hint="eastAsia" w:ascii="宋体" w:hAnsi="宋体" w:eastAsia="宋体" w:cs="宋体"/>
                <w:b w:val="0"/>
                <w:bCs w:val="0"/>
                <w:i w:val="0"/>
                <w:iCs w:val="0"/>
                <w:smallCaps w:val="0"/>
                <w:strike w:val="0"/>
                <w:sz w:val="24"/>
                <w:szCs w:val="24"/>
                <w:lang w:val="en-US" w:eastAsia="zh-CN"/>
              </w:rPr>
              <w:t>0-8</w:t>
            </w:r>
          </w:p>
        </w:tc>
        <w:tc>
          <w:tcPr>
            <w:tcW w:w="4013" w:type="dxa"/>
            <w:tcBorders>
              <w:top w:val="single" w:color="auto" w:sz="4" w:space="0"/>
              <w:left w:val="single" w:color="auto" w:sz="4" w:space="0"/>
              <w:right w:val="single" w:color="auto" w:sz="4" w:space="0"/>
            </w:tcBorders>
            <w:noWrap w:val="0"/>
            <w:vAlign w:val="center"/>
          </w:tcPr>
          <w:p w14:paraId="3457F712">
            <w:pPr>
              <w:widowControl w:val="0"/>
              <w:shd w:val="clear" w:color="auto" w:fill="auto"/>
              <w:rPr>
                <w:rFonts w:hint="eastAsia" w:ascii="宋体" w:hAnsi="宋体" w:eastAsia="宋体" w:cs="宋体"/>
              </w:rPr>
            </w:pPr>
            <w:r>
              <w:rPr>
                <w:rFonts w:hint="eastAsia" w:ascii="宋体" w:hAnsi="宋体" w:eastAsia="宋体" w:cs="宋体"/>
                <w:i w:val="0"/>
                <w:iCs w:val="0"/>
                <w:caps w:val="0"/>
                <w:color w:val="0F1115"/>
                <w:spacing w:val="0"/>
                <w:w w:val="100"/>
                <w:position w:val="0"/>
                <w:sz w:val="22"/>
                <w:szCs w:val="22"/>
                <w:u w:val="none"/>
                <w:shd w:val="clear" w:color="auto" w:fill="FFFFFF"/>
                <w:lang w:val="en-US" w:eastAsia="zh-CN" w:bidi="ko-KR"/>
              </w:rPr>
              <w:t>承诺每</w:t>
            </w:r>
            <w:r>
              <w:rPr>
                <w:rFonts w:hint="eastAsia" w:ascii="宋体" w:hAnsi="宋体" w:cs="宋体"/>
                <w:i w:val="0"/>
                <w:iCs w:val="0"/>
                <w:caps w:val="0"/>
                <w:color w:val="0F1115"/>
                <w:spacing w:val="0"/>
                <w:w w:val="100"/>
                <w:position w:val="0"/>
                <w:sz w:val="22"/>
                <w:szCs w:val="22"/>
                <w:u w:val="none"/>
                <w:shd w:val="clear" w:color="auto" w:fill="FFFFFF"/>
                <w:lang w:val="en-US" w:eastAsia="zh-CN" w:bidi="ko-KR"/>
              </w:rPr>
              <w:t>半年</w:t>
            </w:r>
            <w:r>
              <w:rPr>
                <w:rFonts w:hint="eastAsia" w:ascii="宋体" w:hAnsi="宋体" w:eastAsia="宋体" w:cs="宋体"/>
                <w:i w:val="0"/>
                <w:iCs w:val="0"/>
                <w:caps w:val="0"/>
                <w:color w:val="0F1115"/>
                <w:spacing w:val="0"/>
                <w:w w:val="100"/>
                <w:position w:val="0"/>
                <w:sz w:val="22"/>
                <w:szCs w:val="22"/>
                <w:u w:val="none"/>
                <w:shd w:val="clear" w:color="auto" w:fill="FFFFFF"/>
                <w:lang w:val="en-US" w:eastAsia="zh-CN" w:bidi="ko-KR"/>
              </w:rPr>
              <w:t>至少提供一次现场系统巡检并出具报告的得3分；每</w:t>
            </w:r>
            <w:r>
              <w:rPr>
                <w:rFonts w:hint="eastAsia" w:ascii="宋体" w:hAnsi="宋体" w:cs="宋体"/>
                <w:i w:val="0"/>
                <w:iCs w:val="0"/>
                <w:caps w:val="0"/>
                <w:color w:val="0F1115"/>
                <w:spacing w:val="0"/>
                <w:w w:val="100"/>
                <w:position w:val="0"/>
                <w:sz w:val="22"/>
                <w:szCs w:val="22"/>
                <w:u w:val="none"/>
                <w:shd w:val="clear" w:color="auto" w:fill="FFFFFF"/>
                <w:lang w:val="en-US" w:eastAsia="zh-CN" w:bidi="ko-KR"/>
              </w:rPr>
              <w:t>季度</w:t>
            </w:r>
            <w:r>
              <w:rPr>
                <w:rFonts w:hint="eastAsia" w:ascii="宋体" w:hAnsi="宋体" w:eastAsia="宋体" w:cs="宋体"/>
                <w:i w:val="0"/>
                <w:iCs w:val="0"/>
                <w:caps w:val="0"/>
                <w:color w:val="0F1115"/>
                <w:spacing w:val="0"/>
                <w:w w:val="100"/>
                <w:position w:val="0"/>
                <w:sz w:val="22"/>
                <w:szCs w:val="22"/>
                <w:u w:val="none"/>
                <w:shd w:val="clear" w:color="auto" w:fill="FFFFFF"/>
                <w:lang w:val="en-US" w:eastAsia="zh-CN" w:bidi="ko-KR"/>
              </w:rPr>
              <w:t>的得4分；</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承诺在甲方重大活动或业务高峰期免费派工程师现场值守的得</w:t>
            </w:r>
            <w:r>
              <w:rPr>
                <w:rFonts w:hint="eastAsia" w:ascii="宋体" w:hAnsi="宋体" w:eastAsia="宋体" w:cs="宋体"/>
                <w:i w:val="0"/>
                <w:iCs w:val="0"/>
                <w:caps w:val="0"/>
                <w:color w:val="0F1115"/>
                <w:spacing w:val="0"/>
                <w:w w:val="100"/>
                <w:position w:val="0"/>
                <w:sz w:val="22"/>
                <w:szCs w:val="22"/>
                <w:u w:val="none"/>
                <w:shd w:val="clear" w:color="auto" w:fill="FFFFFF"/>
                <w:lang w:val="en-US" w:eastAsia="zh-CN" w:bidi="ko-KR"/>
              </w:rPr>
              <w:t>4</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分；</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（满分8分）</w:t>
            </w:r>
          </w:p>
        </w:tc>
      </w:tr>
      <w:tr w14:paraId="7EEA32A3">
        <w:tblPrEx>
          <w:tblCellMar>
            <w:top w:w="0" w:type="dxa"/>
            <w:left w:w="10" w:type="dxa"/>
            <w:bottom w:w="0" w:type="dxa"/>
            <w:right w:w="10" w:type="dxa"/>
          </w:tblCellMar>
        </w:tblPrEx>
        <w:trPr>
          <w:trHeight w:val="2327" w:hRule="exact"/>
        </w:trPr>
        <w:tc>
          <w:tcPr>
            <w:tcW w:w="1471" w:type="dxa"/>
            <w:tcBorders>
              <w:top w:val="single" w:color="auto" w:sz="4" w:space="0"/>
              <w:left w:val="single" w:color="auto" w:sz="4" w:space="0"/>
              <w:bottom w:val="single" w:color="auto" w:sz="4" w:space="0"/>
            </w:tcBorders>
            <w:noWrap w:val="0"/>
            <w:vAlign w:val="center"/>
          </w:tcPr>
          <w:p w14:paraId="5B9316A9">
            <w:pPr>
              <w:pStyle w:val="32"/>
              <w:keepNext w:val="0"/>
              <w:keepLines w:val="0"/>
              <w:widowControl w:val="0"/>
              <w:shd w:val="clear" w:color="auto" w:fill="auto"/>
              <w:bidi w:val="0"/>
              <w:spacing w:before="0" w:after="0" w:line="286" w:lineRule="exact"/>
              <w:ind w:left="0" w:right="0" w:firstLine="0"/>
              <w:jc w:val="center"/>
              <w:rPr>
                <w:rFonts w:hint="eastAsia" w:ascii="宋体" w:hAnsi="宋体" w:eastAsia="宋体" w:cs="宋体"/>
                <w:sz w:val="24"/>
                <w:szCs w:val="24"/>
              </w:rPr>
            </w:pPr>
            <w:r>
              <w:rPr>
                <w:rStyle w:val="33"/>
                <w:rFonts w:hint="eastAsia" w:ascii="宋体" w:hAnsi="宋体" w:eastAsia="宋体" w:cs="宋体"/>
                <w:b w:val="0"/>
                <w:bCs w:val="0"/>
                <w:i w:val="0"/>
                <w:iCs w:val="0"/>
                <w:smallCaps w:val="0"/>
                <w:strike w:val="0"/>
                <w:lang w:val="ja-JP" w:eastAsia="ja-JP" w:bidi="ja-JP"/>
              </w:rPr>
              <w:t xml:space="preserve">价格 </w:t>
            </w:r>
            <w:r>
              <w:rPr>
                <w:rStyle w:val="33"/>
                <w:rFonts w:hint="eastAsia" w:ascii="宋体" w:hAnsi="宋体" w:eastAsia="宋体" w:cs="宋体"/>
                <w:b w:val="0"/>
                <w:bCs w:val="0"/>
                <w:i w:val="0"/>
                <w:iCs w:val="0"/>
                <w:smallCaps w:val="0"/>
                <w:strike w:val="0"/>
              </w:rPr>
              <w:t>(</w:t>
            </w:r>
            <w:r>
              <w:rPr>
                <w:rStyle w:val="33"/>
                <w:rFonts w:hint="eastAsia" w:ascii="宋体" w:hAnsi="宋体" w:eastAsia="宋体" w:cs="宋体"/>
                <w:b w:val="0"/>
                <w:bCs w:val="0"/>
                <w:i w:val="0"/>
                <w:iCs w:val="0"/>
                <w:smallCaps w:val="0"/>
                <w:strike w:val="0"/>
                <w:lang w:val="en-US" w:eastAsia="zh-CN"/>
              </w:rPr>
              <w:t>40</w:t>
            </w:r>
            <w:r>
              <w:rPr>
                <w:rStyle w:val="33"/>
                <w:rFonts w:hint="eastAsia" w:ascii="宋体" w:hAnsi="宋体" w:eastAsia="宋体" w:cs="宋体"/>
                <w:b w:val="0"/>
                <w:bCs w:val="0"/>
                <w:i w:val="0"/>
                <w:iCs w:val="0"/>
                <w:smallCaps w:val="0"/>
                <w:strike w:val="0"/>
              </w:rPr>
              <w:t>分</w:t>
            </w:r>
            <w:r>
              <w:rPr>
                <w:rStyle w:val="33"/>
                <w:rFonts w:hint="eastAsia" w:ascii="宋体" w:hAnsi="宋体" w:eastAsia="宋体" w:cs="宋体"/>
                <w:b w:val="0"/>
                <w:bCs w:val="0"/>
                <w:i w:val="0"/>
                <w:iCs w:val="0"/>
                <w:smallCaps w:val="0"/>
                <w:strike w:val="0"/>
                <w:sz w:val="24"/>
                <w:szCs w:val="24"/>
                <w:lang w:val="ja-JP" w:eastAsia="ja-JP" w:bidi="ja-JP"/>
              </w:rPr>
              <w:t>)</w:t>
            </w:r>
          </w:p>
        </w:tc>
        <w:tc>
          <w:tcPr>
            <w:tcW w:w="1438" w:type="dxa"/>
            <w:tcBorders>
              <w:top w:val="single" w:color="auto" w:sz="4" w:space="0"/>
              <w:left w:val="single" w:color="auto" w:sz="4" w:space="0"/>
              <w:bottom w:val="single" w:color="auto" w:sz="4" w:space="0"/>
            </w:tcBorders>
            <w:noWrap w:val="0"/>
            <w:vAlign w:val="center"/>
          </w:tcPr>
          <w:p w14:paraId="1B6F6C1E">
            <w:pPr>
              <w:pStyle w:val="32"/>
              <w:keepNext w:val="0"/>
              <w:keepLines w:val="0"/>
              <w:widowControl w:val="0"/>
              <w:shd w:val="clear" w:color="auto" w:fill="auto"/>
              <w:bidi w:val="0"/>
              <w:spacing w:before="0" w:after="0" w:line="240" w:lineRule="auto"/>
              <w:ind w:left="0" w:right="0" w:firstLine="0"/>
              <w:jc w:val="center"/>
              <w:rPr>
                <w:rFonts w:hint="eastAsia" w:ascii="宋体" w:hAnsi="宋体" w:eastAsia="宋体" w:cs="宋体"/>
                <w:highlight w:val="none"/>
              </w:rPr>
            </w:pPr>
            <w:r>
              <w:rPr>
                <w:rStyle w:val="33"/>
                <w:rFonts w:hint="eastAsia" w:ascii="宋体" w:hAnsi="宋体" w:eastAsia="宋体" w:cs="宋体"/>
                <w:b w:val="0"/>
                <w:bCs w:val="0"/>
                <w:i w:val="0"/>
                <w:iCs w:val="0"/>
                <w:smallCaps w:val="0"/>
                <w:strike w:val="0"/>
                <w:highlight w:val="none"/>
              </w:rPr>
              <w:t>投标报价</w:t>
            </w:r>
          </w:p>
        </w:tc>
        <w:tc>
          <w:tcPr>
            <w:tcW w:w="1337" w:type="dxa"/>
            <w:tcBorders>
              <w:top w:val="single" w:color="auto" w:sz="4" w:space="0"/>
              <w:left w:val="single" w:color="auto" w:sz="4" w:space="0"/>
              <w:bottom w:val="single" w:color="auto" w:sz="4" w:space="0"/>
            </w:tcBorders>
            <w:noWrap w:val="0"/>
            <w:vAlign w:val="center"/>
          </w:tcPr>
          <w:p w14:paraId="1ED37243">
            <w:pPr>
              <w:pStyle w:val="32"/>
              <w:keepNext w:val="0"/>
              <w:keepLines w:val="0"/>
              <w:widowControl w:val="0"/>
              <w:shd w:val="clear" w:color="auto" w:fill="auto"/>
              <w:bidi w:val="0"/>
              <w:spacing w:before="0" w:after="0" w:line="240" w:lineRule="auto"/>
              <w:ind w:left="0" w:right="0" w:firstLine="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0-40</w:t>
            </w:r>
          </w:p>
        </w:tc>
        <w:tc>
          <w:tcPr>
            <w:tcW w:w="4013" w:type="dxa"/>
            <w:tcBorders>
              <w:top w:val="single" w:color="auto" w:sz="4" w:space="0"/>
              <w:left w:val="single" w:color="auto" w:sz="4" w:space="0"/>
              <w:bottom w:val="single" w:color="auto" w:sz="4" w:space="0"/>
              <w:right w:val="single" w:color="auto" w:sz="4" w:space="0"/>
            </w:tcBorders>
            <w:noWrap w:val="0"/>
            <w:vAlign w:val="top"/>
          </w:tcPr>
          <w:p w14:paraId="2E4217F7">
            <w:pPr>
              <w:widowControl w:val="0"/>
              <w:rPr>
                <w:rFonts w:hint="eastAsia" w:ascii="宋体" w:hAnsi="宋体" w:eastAsia="宋体" w:cs="宋体"/>
                <w:sz w:val="10"/>
                <w:szCs w:val="10"/>
                <w:highlight w:val="yellow"/>
              </w:rPr>
            </w:pPr>
            <w:r>
              <w:rPr>
                <w:rFonts w:hint="eastAsia" w:ascii="宋体" w:hAnsi="宋体" w:eastAsia="宋体" w:cs="宋体"/>
                <w:i w:val="0"/>
                <w:iCs w:val="0"/>
                <w:caps w:val="0"/>
                <w:color w:val="0F1115"/>
                <w:spacing w:val="0"/>
                <w:w w:val="100"/>
                <w:position w:val="0"/>
                <w:sz w:val="22"/>
                <w:szCs w:val="22"/>
                <w:u w:val="none"/>
                <w:shd w:val="clear" w:color="auto" w:fill="FFFFFF"/>
                <w:lang w:val="en-US" w:eastAsia="zh-CN" w:bidi="ko-KR"/>
              </w:rPr>
              <w:t>以满足磋商文件要求且最终报价最低的供应商价格为磋商基准价，其价格分为满分</w:t>
            </w:r>
            <w:r>
              <w:rPr>
                <w:rFonts w:hint="eastAsia" w:ascii="宋体" w:hAnsi="宋体" w:cs="宋体"/>
                <w:i w:val="0"/>
                <w:iCs w:val="0"/>
                <w:caps w:val="0"/>
                <w:color w:val="0F1115"/>
                <w:spacing w:val="0"/>
                <w:w w:val="100"/>
                <w:position w:val="0"/>
                <w:sz w:val="22"/>
                <w:szCs w:val="22"/>
                <w:u w:val="none"/>
                <w:shd w:val="clear" w:color="auto" w:fill="FFFFFF"/>
                <w:lang w:val="en-US" w:eastAsia="zh-CN" w:bidi="ko-KR"/>
              </w:rPr>
              <w:t>4</w:t>
            </w:r>
            <w:r>
              <w:rPr>
                <w:rFonts w:hint="eastAsia" w:ascii="宋体" w:hAnsi="宋体" w:eastAsia="宋体" w:cs="宋体"/>
                <w:i w:val="0"/>
                <w:iCs w:val="0"/>
                <w:caps w:val="0"/>
                <w:color w:val="0F1115"/>
                <w:spacing w:val="0"/>
                <w:w w:val="100"/>
                <w:position w:val="0"/>
                <w:sz w:val="22"/>
                <w:szCs w:val="22"/>
                <w:u w:val="none"/>
                <w:shd w:val="clear" w:color="auto" w:fill="FFFFFF"/>
                <w:lang w:val="en-US" w:eastAsia="zh-CN" w:bidi="ko-KR"/>
              </w:rPr>
              <w:t>0分。</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其他供应商价格分统一按下列公式计算：</w:t>
            </w:r>
            <w:r>
              <w:rPr>
                <w:rFonts w:hint="default" w:ascii="Segoe UI" w:hAnsi="Segoe UI" w:eastAsia="Segoe UI" w:cs="Segoe UI"/>
                <w:i w:val="0"/>
                <w:iCs w:val="0"/>
                <w:caps w:val="0"/>
                <w:color w:val="0F1115"/>
                <w:spacing w:val="0"/>
                <w:sz w:val="22"/>
                <w:szCs w:val="22"/>
                <w:highlight w:val="yellow"/>
                <w:shd w:val="clear" w:color="auto" w:fill="FFFFFF"/>
              </w:rPr>
              <w:br w:type="textWrapping"/>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 xml:space="preserve">价格分 = (磋商基准价 / 最终报价) × </w:t>
            </w:r>
            <w:r>
              <w:rPr>
                <w:rFonts w:hint="eastAsia" w:ascii="宋体" w:hAnsi="宋体" w:cs="宋体"/>
                <w:i w:val="0"/>
                <w:iCs w:val="0"/>
                <w:caps w:val="0"/>
                <w:color w:val="0F1115"/>
                <w:spacing w:val="0"/>
                <w:w w:val="100"/>
                <w:position w:val="0"/>
                <w:sz w:val="22"/>
                <w:szCs w:val="22"/>
                <w:u w:val="none"/>
                <w:shd w:val="clear" w:color="auto" w:fill="FFFFFF"/>
                <w:lang w:val="en-US" w:eastAsia="zh-CN" w:bidi="ko-KR"/>
              </w:rPr>
              <w:t>4</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0。</w:t>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br w:type="textWrapping"/>
            </w:r>
            <w:r>
              <w:rPr>
                <w:rFonts w:hint="default" w:ascii="宋体" w:hAnsi="宋体" w:eastAsia="宋体" w:cs="宋体"/>
                <w:i w:val="0"/>
                <w:iCs w:val="0"/>
                <w:caps w:val="0"/>
                <w:color w:val="0F1115"/>
                <w:spacing w:val="0"/>
                <w:w w:val="100"/>
                <w:position w:val="0"/>
                <w:sz w:val="22"/>
                <w:szCs w:val="22"/>
                <w:u w:val="none"/>
                <w:shd w:val="clear" w:color="auto" w:fill="FFFFFF"/>
                <w:lang w:val="en-US" w:eastAsia="zh-CN" w:bidi="ko-KR"/>
              </w:rPr>
              <w:t>（保留小数点后两位，第三位四舍五入）</w:t>
            </w:r>
          </w:p>
        </w:tc>
      </w:tr>
    </w:tbl>
    <w:p w14:paraId="35C2B38D">
      <w:pPr>
        <w:keepNext w:val="0"/>
        <w:keepLines w:val="0"/>
        <w:pageBreakBefore w:val="0"/>
        <w:widowControl/>
        <w:kinsoku/>
        <w:wordWrap/>
        <w:overflowPunct/>
        <w:topLinePunct w:val="0"/>
        <w:autoSpaceDN/>
        <w:bidi w:val="0"/>
        <w:adjustRightInd/>
        <w:snapToGrid/>
        <w:spacing w:line="560" w:lineRule="exact"/>
        <w:ind w:firstLine="0" w:firstLineChars="0"/>
        <w:jc w:val="left"/>
        <w:rPr>
          <w:rFonts w:hint="eastAsia" w:ascii="仿宋" w:hAnsi="仿宋" w:eastAsia="仿宋" w:cs="仿宋"/>
          <w:sz w:val="28"/>
          <w:szCs w:val="28"/>
          <w:highlight w:val="none"/>
          <w:lang w:val="en-US" w:eastAsia="zh-CN"/>
        </w:rPr>
      </w:pPr>
    </w:p>
    <w:p w14:paraId="0EC7D965">
      <w:pPr>
        <w:pStyle w:val="20"/>
        <w:keepNext w:val="0"/>
        <w:keepLines w:val="0"/>
        <w:pageBreakBefore w:val="0"/>
        <w:widowControl/>
        <w:numPr>
          <w:ilvl w:val="0"/>
          <w:numId w:val="1"/>
        </w:numPr>
        <w:kinsoku/>
        <w:wordWrap/>
        <w:overflowPunct/>
        <w:topLinePunct w:val="0"/>
        <w:autoSpaceDN/>
        <w:bidi w:val="0"/>
        <w:adjustRightInd/>
        <w:snapToGrid/>
        <w:spacing w:line="560" w:lineRule="exact"/>
        <w:ind w:firstLineChars="0"/>
        <w:jc w:val="center"/>
        <w:outlineLvl w:val="0"/>
        <w:rPr>
          <w:rFonts w:hint="eastAsia" w:ascii="黑体" w:hAnsi="黑体" w:eastAsia="黑体" w:cs="黑体"/>
          <w:b/>
          <w:sz w:val="32"/>
          <w:szCs w:val="32"/>
          <w:highlight w:val="none"/>
          <w:lang w:val="en-US" w:eastAsia="zh-CN"/>
        </w:rPr>
      </w:pPr>
      <w:r>
        <w:rPr>
          <w:rFonts w:hint="eastAsia" w:ascii="黑体" w:hAnsi="黑体" w:eastAsia="黑体" w:cs="黑体"/>
          <w:b/>
          <w:sz w:val="32"/>
          <w:szCs w:val="32"/>
          <w:highlight w:val="none"/>
          <w:lang w:val="en-US" w:eastAsia="zh-CN"/>
        </w:rPr>
        <w:t>合同主要条款</w:t>
      </w:r>
    </w:p>
    <w:p w14:paraId="1CE45461">
      <w:pPr>
        <w:pStyle w:val="20"/>
        <w:keepNext w:val="0"/>
        <w:keepLines w:val="0"/>
        <w:pageBreakBefore w:val="0"/>
        <w:widowControl/>
        <w:numPr>
          <w:ilvl w:val="-1"/>
          <w:numId w:val="0"/>
        </w:numPr>
        <w:kinsoku/>
        <w:wordWrap/>
        <w:overflowPunct/>
        <w:topLinePunct w:val="0"/>
        <w:autoSpaceDN/>
        <w:bidi w:val="0"/>
        <w:adjustRightInd/>
        <w:snapToGrid/>
        <w:spacing w:line="560" w:lineRule="exact"/>
        <w:ind w:left="0" w:firstLine="0" w:firstLineChars="0"/>
        <w:jc w:val="both"/>
        <w:outlineLvl w:val="0"/>
        <w:rPr>
          <w:rFonts w:hint="eastAsia" w:ascii="黑体" w:hAnsi="黑体" w:eastAsia="黑体" w:cs="黑体"/>
          <w:b/>
          <w:sz w:val="32"/>
          <w:szCs w:val="32"/>
          <w:highlight w:val="none"/>
          <w:lang w:val="en-US" w:eastAsia="zh-CN"/>
        </w:rPr>
      </w:pPr>
    </w:p>
    <w:p w14:paraId="06AA006B">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（一）合同标的物</w:t>
      </w:r>
    </w:p>
    <w:p w14:paraId="4475265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合同标的物包括58套银河麒麟服务器操作系统软件许可（V10）和10套银河麒麟服务器操作系统软件许可（V11）、原厂维保服务、原厂人天技术支持服务（据实结算，最高5人天）。服务期限三年</w:t>
      </w:r>
      <w:r>
        <w:rPr>
          <w:rFonts w:hint="eastAsia" w:ascii="仿宋" w:hAnsi="仿宋" w:eastAsia="仿宋"/>
          <w:sz w:val="28"/>
          <w:szCs w:val="28"/>
          <w:lang w:val="en-US" w:eastAsia="zh-CN"/>
        </w:rPr>
        <w:t>。</w:t>
      </w:r>
    </w:p>
    <w:p w14:paraId="13987AB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b/>
          <w:bCs/>
          <w:sz w:val="28"/>
          <w:szCs w:val="28"/>
        </w:rPr>
      </w:pPr>
      <w:r>
        <w:rPr>
          <w:rFonts w:hint="eastAsia" w:ascii="楷体" w:hAnsi="楷体" w:eastAsia="楷体" w:cs="楷体"/>
          <w:color w:val="000000"/>
          <w:sz w:val="28"/>
          <w:szCs w:val="28"/>
          <w:lang w:val="en-US" w:eastAsia="zh-CN"/>
        </w:rPr>
        <w:t>（二）甲方关键义务</w:t>
      </w:r>
    </w:p>
    <w:p w14:paraId="6EECF187">
      <w:pPr>
        <w:keepNext w:val="0"/>
        <w:keepLines w:val="0"/>
        <w:pageBreakBefore w:val="0"/>
        <w:numPr>
          <w:ilvl w:val="0"/>
          <w:numId w:val="0"/>
        </w:numPr>
        <w:kinsoku/>
        <w:wordWrap/>
        <w:overflowPunct/>
        <w:topLinePunct w:val="0"/>
        <w:autoSpaceDN/>
        <w:bidi w:val="0"/>
        <w:adjustRightInd/>
        <w:snapToGrid/>
        <w:spacing w:line="560" w:lineRule="exact"/>
        <w:ind w:left="360" w:leftChars="0"/>
        <w:rPr>
          <w:rFonts w:hint="default" w:ascii="Times New Roman" w:hAnsi="Times New Roman" w:eastAsia="仿宋" w:cs="Times New Roman"/>
          <w:color w:val="auto"/>
          <w:spacing w:val="0"/>
          <w:kern w:val="0"/>
          <w:sz w:val="28"/>
          <w:szCs w:val="28"/>
          <w:highlight w:val="none"/>
          <w:lang w:val="en-US" w:eastAsia="zh-CN" w:bidi="ar"/>
        </w:rPr>
      </w:pPr>
      <w:r>
        <w:rPr>
          <w:rFonts w:hint="eastAsia" w:ascii="仿宋" w:hAnsi="仿宋" w:eastAsia="仿宋" w:cs="Times New Roman"/>
          <w:color w:val="000000"/>
          <w:sz w:val="28"/>
          <w:szCs w:val="28"/>
          <w:lang w:val="en-US" w:eastAsia="zh-CN"/>
        </w:rPr>
        <w:t>1.</w:t>
      </w:r>
      <w:r>
        <w:rPr>
          <w:rFonts w:hint="eastAsia" w:ascii="Times New Roman" w:hAnsi="Times New Roman" w:eastAsia="仿宋" w:cs="Times New Roman"/>
          <w:color w:val="auto"/>
          <w:spacing w:val="0"/>
          <w:kern w:val="0"/>
          <w:sz w:val="28"/>
          <w:szCs w:val="28"/>
          <w:highlight w:val="none"/>
          <w:lang w:val="en-US" w:eastAsia="zh-CN" w:bidi="ar"/>
        </w:rPr>
        <w:t>甲方应指定专人负责与乙方对接，按照合同约定及时确认本项目的交付内容，并在验收合格后按约定签署验收文件。</w:t>
      </w:r>
    </w:p>
    <w:p w14:paraId="6B08148F">
      <w:pPr>
        <w:keepNext w:val="0"/>
        <w:keepLines w:val="0"/>
        <w:pageBreakBefore w:val="0"/>
        <w:numPr>
          <w:ilvl w:val="0"/>
          <w:numId w:val="0"/>
        </w:numPr>
        <w:kinsoku/>
        <w:wordWrap/>
        <w:overflowPunct/>
        <w:topLinePunct w:val="0"/>
        <w:autoSpaceDN/>
        <w:bidi w:val="0"/>
        <w:adjustRightInd/>
        <w:snapToGrid/>
        <w:spacing w:line="560" w:lineRule="exact"/>
        <w:ind w:left="360" w:leftChars="0"/>
        <w:rPr>
          <w:rFonts w:hint="eastAsia" w:ascii="仿宋" w:hAnsi="仿宋" w:cs="Times New Roman" w:eastAsiaTheme="minorEastAsia"/>
          <w:color w:val="000000"/>
          <w:sz w:val="28"/>
          <w:szCs w:val="28"/>
          <w:lang w:val="en-US" w:eastAsia="zh-CN"/>
        </w:rPr>
      </w:pPr>
      <w:r>
        <w:rPr>
          <w:rFonts w:hint="eastAsia" w:ascii="仿宋" w:hAnsi="仿宋" w:eastAsia="仿宋" w:cs="Times New Roman"/>
          <w:color w:val="000000"/>
          <w:sz w:val="28"/>
          <w:szCs w:val="28"/>
          <w:lang w:val="en-US" w:eastAsia="zh-CN"/>
        </w:rPr>
        <w:t>2.</w:t>
      </w:r>
      <w:r>
        <w:rPr>
          <w:rFonts w:hint="eastAsia" w:ascii="Times New Roman" w:hAnsi="Times New Roman" w:eastAsia="仿宋" w:cs="Times New Roman"/>
          <w:color w:val="auto"/>
          <w:spacing w:val="0"/>
          <w:kern w:val="0"/>
          <w:sz w:val="28"/>
          <w:szCs w:val="28"/>
          <w:highlight w:val="none"/>
          <w:lang w:val="en-US" w:eastAsia="zh-CN" w:bidi="ar"/>
        </w:rPr>
        <w:t>甲方应按照合同约定的付款节点和金额，及时向乙方支付软件许可费及现场技术支持服务费。</w:t>
      </w:r>
    </w:p>
    <w:p w14:paraId="25B761B7">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firstLine="560" w:firstLineChars="200"/>
        <w:jc w:val="left"/>
        <w:rPr>
          <w:rFonts w:hint="default" w:ascii="Times New Roman" w:hAnsi="Times New Roman" w:eastAsia="仿宋" w:cs="Times New Roman"/>
          <w:color w:val="auto"/>
          <w:spacing w:val="0"/>
          <w:kern w:val="0"/>
          <w:sz w:val="28"/>
          <w:szCs w:val="28"/>
          <w:highlight w:val="none"/>
          <w:lang w:val="en-US" w:eastAsia="zh-CN" w:bidi="ar"/>
        </w:rPr>
      </w:pPr>
      <w:r>
        <w:rPr>
          <w:rFonts w:hint="eastAsia" w:ascii="楷体" w:hAnsi="楷体" w:eastAsia="楷体" w:cs="楷体"/>
          <w:color w:val="000000"/>
          <w:sz w:val="28"/>
          <w:szCs w:val="28"/>
          <w:lang w:val="en-US" w:eastAsia="zh-CN"/>
        </w:rPr>
        <w:t>（三）乙方关键义务</w:t>
      </w:r>
    </w:p>
    <w:p w14:paraId="31A5D9F8">
      <w:pPr>
        <w:keepNext w:val="0"/>
        <w:keepLines w:val="0"/>
        <w:pageBreakBefore w:val="0"/>
        <w:numPr>
          <w:ilvl w:val="0"/>
          <w:numId w:val="0"/>
        </w:numPr>
        <w:kinsoku/>
        <w:wordWrap/>
        <w:overflowPunct/>
        <w:topLinePunct w:val="0"/>
        <w:autoSpaceDN/>
        <w:bidi w:val="0"/>
        <w:adjustRightInd/>
        <w:snapToGrid/>
        <w:spacing w:line="560" w:lineRule="exact"/>
        <w:ind w:left="360" w:leftChars="0"/>
        <w:rPr>
          <w:rFonts w:hint="default" w:ascii="Times New Roman" w:hAnsi="Times New Roman" w:eastAsia="仿宋" w:cs="Times New Roman"/>
          <w:color w:val="auto"/>
          <w:spacing w:val="0"/>
          <w:kern w:val="0"/>
          <w:sz w:val="28"/>
          <w:szCs w:val="28"/>
          <w:highlight w:val="none"/>
          <w:lang w:val="en-US" w:eastAsia="zh-CN" w:bidi="ar"/>
        </w:rPr>
      </w:pPr>
      <w:r>
        <w:rPr>
          <w:rFonts w:hint="eastAsia" w:ascii="Times New Roman" w:hAnsi="Times New Roman" w:eastAsia="仿宋" w:cs="Times New Roman"/>
          <w:color w:val="auto"/>
          <w:spacing w:val="0"/>
          <w:kern w:val="0"/>
          <w:sz w:val="28"/>
          <w:szCs w:val="28"/>
          <w:highlight w:val="none"/>
          <w:lang w:val="en-US" w:eastAsia="zh-CN" w:bidi="ar"/>
        </w:rPr>
        <w:t>1.乙方应当按照本合同约定向甲方提供合格服务，保障系统稳定运行。</w:t>
      </w:r>
    </w:p>
    <w:p w14:paraId="1033B2AF">
      <w:pPr>
        <w:keepNext w:val="0"/>
        <w:keepLines w:val="0"/>
        <w:pageBreakBefore w:val="0"/>
        <w:numPr>
          <w:ilvl w:val="0"/>
          <w:numId w:val="0"/>
        </w:numPr>
        <w:kinsoku/>
        <w:wordWrap/>
        <w:overflowPunct/>
        <w:topLinePunct w:val="0"/>
        <w:autoSpaceDN/>
        <w:bidi w:val="0"/>
        <w:adjustRightInd/>
        <w:snapToGrid/>
        <w:spacing w:line="560" w:lineRule="exact"/>
        <w:ind w:left="360" w:leftChars="0"/>
        <w:rPr>
          <w:rFonts w:hint="eastAsia" w:ascii="Times New Roman" w:hAnsi="Times New Roman" w:eastAsia="仿宋" w:cs="Times New Roman"/>
          <w:color w:val="auto"/>
          <w:spacing w:val="0"/>
          <w:kern w:val="0"/>
          <w:sz w:val="28"/>
          <w:szCs w:val="28"/>
          <w:highlight w:val="none"/>
          <w:lang w:val="en-US" w:eastAsia="zh-CN" w:bidi="ar"/>
        </w:rPr>
      </w:pPr>
      <w:r>
        <w:rPr>
          <w:rFonts w:hint="eastAsia" w:ascii="Times New Roman" w:hAnsi="Times New Roman" w:eastAsia="仿宋" w:cs="Times New Roman"/>
          <w:color w:val="auto"/>
          <w:spacing w:val="0"/>
          <w:kern w:val="0"/>
          <w:sz w:val="28"/>
          <w:szCs w:val="28"/>
          <w:highlight w:val="none"/>
          <w:lang w:val="en-US" w:eastAsia="zh-CN" w:bidi="ar"/>
        </w:rPr>
        <w:t>2.乙方对服务过程中的技术文档应妥善保存，对于服务过程中的重要事项如实记录，并经双方人员签字确认。</w:t>
      </w:r>
    </w:p>
    <w:p w14:paraId="7212F84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right="0" w:firstLine="560" w:firstLineChars="200"/>
        <w:jc w:val="left"/>
        <w:rPr>
          <w:rFonts w:hint="eastAsia"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（四）费用结算方式</w:t>
      </w:r>
    </w:p>
    <w:p w14:paraId="3798E79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详见采购要求--商务要求--付款方式。</w:t>
      </w:r>
    </w:p>
    <w:p w14:paraId="53B39AAB">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firstLine="560" w:firstLineChars="200"/>
        <w:jc w:val="left"/>
        <w:rPr>
          <w:rFonts w:hint="eastAsia"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（五）违约责任及处置办法</w:t>
      </w:r>
    </w:p>
    <w:p w14:paraId="2F0EA886">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firstLine="560" w:firstLineChars="200"/>
        <w:jc w:val="left"/>
        <w:rPr>
          <w:rFonts w:hint="eastAsia" w:ascii="Times New Roman" w:hAnsi="Times New Roman" w:eastAsia="仿宋" w:cs="Times New Roman"/>
          <w:color w:val="auto"/>
          <w:spacing w:val="0"/>
          <w:kern w:val="0"/>
          <w:sz w:val="28"/>
          <w:szCs w:val="28"/>
          <w:highlight w:val="none"/>
          <w:lang w:val="en-US" w:eastAsia="zh-CN" w:bidi="ar"/>
        </w:rPr>
      </w:pPr>
      <w:r>
        <w:rPr>
          <w:rFonts w:hint="default" w:ascii="Times New Roman" w:hAnsi="Times New Roman" w:eastAsia="仿宋" w:cs="Times New Roman"/>
          <w:color w:val="auto"/>
          <w:spacing w:val="0"/>
          <w:kern w:val="0"/>
          <w:sz w:val="28"/>
          <w:szCs w:val="28"/>
          <w:highlight w:val="none"/>
          <w:lang w:val="en-US" w:eastAsia="zh-CN" w:bidi="ar"/>
        </w:rPr>
        <w:t>若乙方未按</w:t>
      </w:r>
      <w:r>
        <w:rPr>
          <w:rFonts w:hint="eastAsia" w:ascii="Times New Roman" w:hAnsi="Times New Roman" w:eastAsia="仿宋" w:cs="Times New Roman"/>
          <w:color w:val="auto"/>
          <w:spacing w:val="0"/>
          <w:kern w:val="0"/>
          <w:sz w:val="28"/>
          <w:szCs w:val="28"/>
          <w:highlight w:val="none"/>
          <w:lang w:val="en-US" w:eastAsia="zh-CN" w:bidi="ar"/>
        </w:rPr>
        <w:t>合同服务要求时间</w:t>
      </w:r>
      <w:r>
        <w:rPr>
          <w:rFonts w:hint="default" w:ascii="Times New Roman" w:hAnsi="Times New Roman" w:eastAsia="仿宋" w:cs="Times New Roman"/>
          <w:color w:val="auto"/>
          <w:spacing w:val="0"/>
          <w:kern w:val="0"/>
          <w:sz w:val="28"/>
          <w:szCs w:val="28"/>
          <w:highlight w:val="none"/>
          <w:lang w:val="en-US" w:eastAsia="zh-CN" w:bidi="ar"/>
        </w:rPr>
        <w:t>响应</w:t>
      </w:r>
      <w:r>
        <w:rPr>
          <w:rFonts w:hint="eastAsia" w:ascii="Times New Roman" w:hAnsi="Times New Roman" w:eastAsia="仿宋" w:cs="Times New Roman"/>
          <w:color w:val="auto"/>
          <w:spacing w:val="0"/>
          <w:kern w:val="0"/>
          <w:sz w:val="28"/>
          <w:szCs w:val="28"/>
          <w:highlight w:val="none"/>
          <w:lang w:val="en-US" w:eastAsia="zh-CN" w:bidi="ar"/>
        </w:rPr>
        <w:t>、</w:t>
      </w:r>
      <w:r>
        <w:rPr>
          <w:rFonts w:hint="default" w:ascii="Times New Roman" w:hAnsi="Times New Roman" w:eastAsia="仿宋" w:cs="Times New Roman"/>
          <w:color w:val="auto"/>
          <w:spacing w:val="0"/>
          <w:kern w:val="0"/>
          <w:sz w:val="28"/>
          <w:szCs w:val="28"/>
          <w:highlight w:val="none"/>
          <w:lang w:val="en-US" w:eastAsia="zh-CN" w:bidi="ar"/>
        </w:rPr>
        <w:t>未及时</w:t>
      </w:r>
      <w:r>
        <w:rPr>
          <w:rFonts w:hint="eastAsia" w:ascii="Times New Roman" w:hAnsi="Times New Roman" w:eastAsia="仿宋" w:cs="Times New Roman"/>
          <w:color w:val="auto"/>
          <w:spacing w:val="0"/>
          <w:kern w:val="0"/>
          <w:sz w:val="28"/>
          <w:szCs w:val="28"/>
          <w:highlight w:val="none"/>
          <w:lang w:val="en-US" w:eastAsia="zh-CN" w:bidi="ar"/>
        </w:rPr>
        <w:t>供应备件导致甲方系统延误恢复的</w:t>
      </w:r>
      <w:r>
        <w:rPr>
          <w:rFonts w:hint="default" w:ascii="Times New Roman" w:hAnsi="Times New Roman" w:eastAsia="仿宋" w:cs="Times New Roman"/>
          <w:color w:val="auto"/>
          <w:spacing w:val="0"/>
          <w:kern w:val="0"/>
          <w:sz w:val="28"/>
          <w:szCs w:val="28"/>
          <w:highlight w:val="none"/>
          <w:lang w:val="en-US" w:eastAsia="zh-CN" w:bidi="ar"/>
        </w:rPr>
        <w:t>，甲方有权扣除对应比例服务费用</w:t>
      </w:r>
      <w:r>
        <w:rPr>
          <w:rFonts w:hint="eastAsia" w:ascii="Times New Roman" w:hAnsi="Times New Roman" w:eastAsia="仿宋" w:cs="Times New Roman"/>
          <w:color w:val="auto"/>
          <w:spacing w:val="0"/>
          <w:kern w:val="0"/>
          <w:sz w:val="28"/>
          <w:szCs w:val="28"/>
          <w:highlight w:val="none"/>
          <w:lang w:val="en-US" w:eastAsia="zh-CN" w:bidi="ar"/>
        </w:rPr>
        <w:t>，</w:t>
      </w:r>
      <w:r>
        <w:rPr>
          <w:rFonts w:hint="default" w:ascii="Times New Roman" w:hAnsi="Times New Roman" w:eastAsia="仿宋" w:cs="Times New Roman"/>
          <w:color w:val="auto"/>
          <w:spacing w:val="0"/>
          <w:kern w:val="0"/>
          <w:sz w:val="28"/>
          <w:szCs w:val="28"/>
          <w:highlight w:val="none"/>
          <w:lang w:val="en-US" w:eastAsia="zh-CN" w:bidi="ar"/>
        </w:rPr>
        <w:t>每逾期</w:t>
      </w:r>
      <w:r>
        <w:rPr>
          <w:rFonts w:hint="eastAsia" w:ascii="Times New Roman" w:hAnsi="Times New Roman" w:eastAsia="仿宋" w:cs="Times New Roman"/>
          <w:color w:val="auto"/>
          <w:spacing w:val="0"/>
          <w:kern w:val="0"/>
          <w:sz w:val="28"/>
          <w:szCs w:val="28"/>
          <w:highlight w:val="none"/>
          <w:lang w:val="en-US" w:eastAsia="zh-CN" w:bidi="ar"/>
        </w:rPr>
        <w:t>1次</w:t>
      </w:r>
      <w:r>
        <w:rPr>
          <w:rFonts w:hint="default" w:ascii="Times New Roman" w:hAnsi="Times New Roman" w:eastAsia="仿宋" w:cs="Times New Roman"/>
          <w:color w:val="auto"/>
          <w:spacing w:val="0"/>
          <w:kern w:val="0"/>
          <w:sz w:val="28"/>
          <w:szCs w:val="28"/>
          <w:highlight w:val="none"/>
          <w:lang w:val="en-US" w:eastAsia="zh-CN" w:bidi="ar"/>
        </w:rPr>
        <w:t>按</w:t>
      </w:r>
      <w:r>
        <w:rPr>
          <w:rFonts w:hint="eastAsia" w:ascii="Times New Roman" w:hAnsi="Times New Roman" w:eastAsia="仿宋" w:cs="Times New Roman"/>
          <w:color w:val="auto"/>
          <w:spacing w:val="0"/>
          <w:kern w:val="0"/>
          <w:sz w:val="28"/>
          <w:szCs w:val="28"/>
          <w:highlight w:val="none"/>
          <w:lang w:val="en-US" w:eastAsia="zh-CN" w:bidi="ar"/>
        </w:rPr>
        <w:t>该项合同应付</w:t>
      </w:r>
      <w:r>
        <w:rPr>
          <w:rFonts w:hint="default" w:ascii="Times New Roman" w:hAnsi="Times New Roman" w:eastAsia="仿宋" w:cs="Times New Roman"/>
          <w:color w:val="auto"/>
          <w:spacing w:val="0"/>
          <w:kern w:val="0"/>
          <w:sz w:val="28"/>
          <w:szCs w:val="28"/>
          <w:highlight w:val="none"/>
          <w:lang w:val="en-US" w:eastAsia="zh-CN" w:bidi="ar"/>
        </w:rPr>
        <w:t>金额的</w:t>
      </w:r>
      <w:r>
        <w:rPr>
          <w:rFonts w:hint="eastAsia" w:ascii="仿宋" w:hAnsi="仿宋" w:eastAsia="仿宋" w:cs="Times New Roman"/>
          <w:color w:val="000000"/>
          <w:sz w:val="28"/>
          <w:szCs w:val="28"/>
          <w:lang w:val="en-US" w:eastAsia="zh-CN"/>
        </w:rPr>
        <w:t>1%</w:t>
      </w:r>
      <w:r>
        <w:rPr>
          <w:rFonts w:hint="default" w:ascii="Times New Roman" w:hAnsi="Times New Roman" w:eastAsia="仿宋" w:cs="Times New Roman"/>
          <w:color w:val="auto"/>
          <w:spacing w:val="0"/>
          <w:kern w:val="0"/>
          <w:sz w:val="28"/>
          <w:szCs w:val="28"/>
          <w:highlight w:val="none"/>
          <w:lang w:val="en-US" w:eastAsia="zh-CN" w:bidi="ar"/>
        </w:rPr>
        <w:t>支付违约金</w:t>
      </w:r>
      <w:r>
        <w:rPr>
          <w:rFonts w:hint="eastAsia" w:ascii="Times New Roman" w:hAnsi="Times New Roman" w:eastAsia="仿宋" w:cs="Times New Roman"/>
          <w:color w:val="auto"/>
          <w:spacing w:val="0"/>
          <w:kern w:val="0"/>
          <w:sz w:val="28"/>
          <w:szCs w:val="28"/>
          <w:highlight w:val="none"/>
          <w:lang w:val="en-US" w:eastAsia="zh-CN" w:bidi="ar"/>
        </w:rPr>
        <w:t>。违约金不足以弥补甲方损失的，乙方还应赔偿其差额。</w:t>
      </w:r>
    </w:p>
    <w:p w14:paraId="0C82ABA7">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175A00E0">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7CC7A3CC">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0F97B736">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2E328490">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65CCF26A">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69CA23B4">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2C7C8D3B">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368ACA0D">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1B36AC54">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20FC497D">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20DA652F">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6579748E">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2268A21C">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271BA5C0">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428FE41D">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0DAC8318">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1AE94F09">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710C063E">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4963EACF">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7EF6E25F">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r>
        <w:rPr>
          <w:rFonts w:hint="eastAsia" w:ascii="Times New Roman" w:hAnsi="Times New Roman" w:eastAsia="仿宋" w:cs="Times New Roman"/>
          <w:b/>
          <w:bCs/>
          <w:color w:val="auto"/>
          <w:spacing w:val="0"/>
          <w:kern w:val="0"/>
          <w:sz w:val="28"/>
          <w:szCs w:val="28"/>
          <w:highlight w:val="none"/>
          <w:lang w:val="en-US" w:eastAsia="zh-CN" w:bidi="ar"/>
        </w:rPr>
        <w:t>附件1：首轮报价表</w:t>
      </w:r>
    </w:p>
    <w:p w14:paraId="70079EC5">
      <w:pPr>
        <w:keepNext w:val="0"/>
        <w:keepLines w:val="0"/>
        <w:pageBreakBefore w:val="0"/>
        <w:kinsoku/>
        <w:wordWrap/>
        <w:overflowPunct/>
        <w:topLinePunct w:val="0"/>
        <w:autoSpaceDN/>
        <w:bidi w:val="0"/>
        <w:adjustRightInd/>
        <w:snapToGrid/>
        <w:spacing w:before="380" w:after="140" w:line="560" w:lineRule="exact"/>
        <w:ind w:left="0"/>
        <w:jc w:val="center"/>
        <w:outlineLvl w:val="0"/>
      </w:pPr>
      <w:r>
        <w:rPr>
          <w:rFonts w:ascii="Arial" w:hAnsi="Arial" w:eastAsia="等线" w:cs="Arial"/>
          <w:b/>
          <w:sz w:val="36"/>
        </w:rPr>
        <w:t>首轮报价表</w:t>
      </w:r>
    </w:p>
    <w:p w14:paraId="3BF61723">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 xml:space="preserve">报价单位（盖章）：________________________  </w:t>
      </w:r>
    </w:p>
    <w:p w14:paraId="1377EDD3">
      <w:pPr>
        <w:keepNext w:val="0"/>
        <w:keepLines w:val="0"/>
        <w:pageBreakBefore w:val="0"/>
        <w:kinsoku/>
        <w:wordWrap/>
        <w:overflowPunct/>
        <w:topLinePunct w:val="0"/>
        <w:autoSpaceDN/>
        <w:bidi w:val="0"/>
        <w:adjustRightInd/>
        <w:snapToGrid/>
        <w:spacing w:before="120" w:after="120" w:line="560" w:lineRule="exact"/>
        <w:ind w:left="0"/>
        <w:jc w:val="left"/>
      </w:pPr>
      <w:r>
        <w:rPr>
          <w:rFonts w:ascii="Arial" w:hAnsi="Arial" w:eastAsia="等线" w:cs="Arial"/>
          <w:sz w:val="22"/>
        </w:rPr>
        <w:t>法定代表人/授权代表人（签字）：________________________</w:t>
      </w:r>
    </w:p>
    <w:p w14:paraId="5451AF64">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项目名称：</w:t>
      </w:r>
      <w:r>
        <w:rPr>
          <w:rFonts w:hint="default" w:ascii="Arial" w:hAnsi="Arial" w:eastAsia="等线" w:cs="Arial"/>
          <w:sz w:val="22"/>
          <w:szCs w:val="22"/>
          <w:highlight w:val="none"/>
          <w:lang w:eastAsia="zh-CN"/>
        </w:rPr>
        <w:t>云资源服务器操作系统采购</w:t>
      </w:r>
      <w:r>
        <w:rPr>
          <w:rFonts w:hint="default" w:ascii="Arial" w:hAnsi="Arial" w:eastAsia="等线" w:cs="Arial"/>
          <w:b w:val="0"/>
          <w:bCs w:val="0"/>
          <w:i w:val="0"/>
          <w:caps w:val="0"/>
          <w:spacing w:val="0"/>
          <w:kern w:val="2"/>
          <w:sz w:val="22"/>
          <w:szCs w:val="22"/>
          <w:highlight w:val="none"/>
          <w:shd w:val="clear"/>
          <w:lang w:val="en-US" w:eastAsia="zh-CN" w:bidi="ar"/>
        </w:rPr>
        <w:t>项目</w:t>
      </w:r>
      <w:r>
        <w:rPr>
          <w:rFonts w:ascii="Arial" w:hAnsi="Arial" w:eastAsia="等线" w:cs="Arial"/>
          <w:sz w:val="22"/>
        </w:rPr>
        <w:t xml:space="preserve">  </w:t>
      </w:r>
    </w:p>
    <w:p w14:paraId="782B4E19">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 xml:space="preserve">磋商方式：竞争性磋商  </w:t>
      </w:r>
    </w:p>
    <w:p w14:paraId="0BB51429">
      <w:pPr>
        <w:keepNext w:val="0"/>
        <w:keepLines w:val="0"/>
        <w:pageBreakBefore w:val="0"/>
        <w:kinsoku/>
        <w:wordWrap/>
        <w:overflowPunct/>
        <w:topLinePunct w:val="0"/>
        <w:autoSpaceDN/>
        <w:bidi w:val="0"/>
        <w:adjustRightInd/>
        <w:snapToGrid/>
        <w:spacing w:before="120" w:after="120" w:line="560" w:lineRule="exact"/>
        <w:ind w:left="0"/>
        <w:jc w:val="left"/>
      </w:pPr>
      <w:r>
        <w:rPr>
          <w:rFonts w:ascii="Arial" w:hAnsi="Arial" w:eastAsia="等线" w:cs="Arial"/>
          <w:sz w:val="22"/>
        </w:rPr>
        <w:t>报价轮次：首轮</w:t>
      </w:r>
    </w:p>
    <w:p w14:paraId="1717B219">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 xml:space="preserve">报价日期：______年____月____日  </w:t>
      </w:r>
    </w:p>
    <w:p w14:paraId="4B77D523">
      <w:pPr>
        <w:keepNext w:val="0"/>
        <w:keepLines w:val="0"/>
        <w:pageBreakBefore w:val="0"/>
        <w:kinsoku/>
        <w:wordWrap/>
        <w:overflowPunct/>
        <w:topLinePunct w:val="0"/>
        <w:autoSpaceDN/>
        <w:bidi w:val="0"/>
        <w:adjustRightInd/>
        <w:snapToGrid/>
        <w:spacing w:before="120" w:after="120" w:line="560" w:lineRule="exact"/>
        <w:ind w:left="0"/>
        <w:jc w:val="left"/>
        <w:rPr>
          <w:rFonts w:hint="default" w:ascii="Arial" w:hAnsi="Arial" w:eastAsia="等线" w:cs="Arial"/>
          <w:sz w:val="22"/>
          <w:lang w:val="en-US" w:eastAsia="zh-CN"/>
        </w:rPr>
      </w:pPr>
      <w:r>
        <w:rPr>
          <w:rFonts w:hint="eastAsia" w:ascii="Arial" w:hAnsi="Arial" w:eastAsia="等线" w:cs="Arial"/>
          <w:sz w:val="22"/>
          <w:lang w:val="en-US" w:eastAsia="zh-CN"/>
        </w:rPr>
        <w:t>注：本次报价均为税后报价，总报价包含本项目所有费用。</w:t>
      </w:r>
    </w:p>
    <w:tbl>
      <w:tblPr>
        <w:tblStyle w:val="13"/>
        <w:tblW w:w="888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66"/>
        <w:gridCol w:w="2482"/>
        <w:gridCol w:w="832"/>
        <w:gridCol w:w="1132"/>
        <w:gridCol w:w="1096"/>
        <w:gridCol w:w="889"/>
        <w:gridCol w:w="1085"/>
      </w:tblGrid>
      <w:tr w14:paraId="5EC9B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4" w:hRule="atLeast"/>
          <w:jc w:val="center"/>
        </w:trPr>
        <w:tc>
          <w:tcPr>
            <w:tcW w:w="1366" w:type="dxa"/>
            <w:tcBorders>
              <w:top w:val="single" w:color="000000" w:sz="8" w:space="0"/>
              <w:left w:val="single" w:color="000000" w:sz="8"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1A86BD02">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kern w:val="0"/>
                <w:sz w:val="21"/>
                <w:szCs w:val="21"/>
                <w:highlight w:val="none"/>
                <w:u w:val="none"/>
                <w:lang w:val="en-US" w:eastAsia="zh-CN" w:bidi="ar"/>
              </w:rPr>
            </w:pPr>
            <w:r>
              <w:rPr>
                <w:rFonts w:hint="eastAsia" w:ascii="仿宋" w:hAnsi="仿宋" w:eastAsia="仿宋" w:cs="仿宋"/>
                <w:b/>
                <w:bCs/>
                <w:i w:val="0"/>
                <w:color w:val="auto"/>
                <w:kern w:val="0"/>
                <w:sz w:val="21"/>
                <w:szCs w:val="21"/>
                <w:highlight w:val="none"/>
                <w:u w:val="none"/>
                <w:lang w:val="en-US" w:eastAsia="zh-CN" w:bidi="ar"/>
              </w:rPr>
              <w:t>序号</w:t>
            </w:r>
          </w:p>
        </w:tc>
        <w:tc>
          <w:tcPr>
            <w:tcW w:w="2482" w:type="dxa"/>
            <w:tcBorders>
              <w:top w:val="single" w:color="000000" w:sz="8" w:space="0"/>
              <w:left w:val="single" w:color="000000" w:sz="8"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4889ABD9">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rPr>
            </w:pPr>
            <w:r>
              <w:rPr>
                <w:rFonts w:hint="eastAsia" w:ascii="仿宋" w:hAnsi="仿宋" w:eastAsia="仿宋" w:cs="仿宋"/>
                <w:b/>
                <w:bCs/>
                <w:i w:val="0"/>
                <w:color w:val="auto"/>
                <w:sz w:val="21"/>
                <w:szCs w:val="21"/>
                <w:highlight w:val="none"/>
                <w:u w:val="none"/>
                <w:lang w:eastAsia="zh-CN"/>
              </w:rPr>
              <w:t>产品</w:t>
            </w:r>
          </w:p>
        </w:tc>
        <w:tc>
          <w:tcPr>
            <w:tcW w:w="832"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58657F9B">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rPr>
            </w:pPr>
            <w:r>
              <w:rPr>
                <w:rFonts w:hint="eastAsia" w:ascii="仿宋" w:hAnsi="仿宋" w:eastAsia="仿宋" w:cs="仿宋"/>
                <w:b/>
                <w:bCs/>
                <w:i w:val="0"/>
                <w:color w:val="auto"/>
                <w:kern w:val="0"/>
                <w:sz w:val="21"/>
                <w:szCs w:val="21"/>
                <w:highlight w:val="none"/>
                <w:u w:val="none"/>
                <w:lang w:val="en-US" w:eastAsia="zh-CN" w:bidi="ar"/>
              </w:rPr>
              <w:t>数量</w:t>
            </w:r>
          </w:p>
        </w:tc>
        <w:tc>
          <w:tcPr>
            <w:tcW w:w="1132"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1D99CDEF">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维保服务</w:t>
            </w:r>
          </w:p>
          <w:p w14:paraId="0B2EC54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采购年限</w:t>
            </w:r>
          </w:p>
        </w:tc>
        <w:tc>
          <w:tcPr>
            <w:tcW w:w="1096"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3F9FF08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维保服务</w:t>
            </w:r>
          </w:p>
          <w:p w14:paraId="7BD554B2">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val="en-US" w:eastAsia="zh-CN"/>
              </w:rPr>
              <w:t>采购年限和服务级别</w:t>
            </w:r>
          </w:p>
        </w:tc>
        <w:tc>
          <w:tcPr>
            <w:tcW w:w="889"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5B018D0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维保服务</w:t>
            </w:r>
          </w:p>
          <w:p w14:paraId="0176A49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类型</w:t>
            </w:r>
          </w:p>
        </w:tc>
        <w:tc>
          <w:tcPr>
            <w:tcW w:w="1085"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58E3A2E5">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税后报价</w:t>
            </w:r>
          </w:p>
          <w:p w14:paraId="43AF6CB1">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单位：元</w:t>
            </w:r>
          </w:p>
        </w:tc>
      </w:tr>
      <w:tr w14:paraId="13922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1" w:hRule="atLeast"/>
          <w:jc w:val="center"/>
        </w:trPr>
        <w:tc>
          <w:tcPr>
            <w:tcW w:w="1366" w:type="dxa"/>
            <w:tcBorders>
              <w:top w:val="single" w:color="000000" w:sz="8"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49492C9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1</w:t>
            </w:r>
          </w:p>
        </w:tc>
        <w:tc>
          <w:tcPr>
            <w:tcW w:w="2482" w:type="dxa"/>
            <w:tcBorders>
              <w:top w:val="single" w:color="000000" w:sz="8"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13B06312">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sz w:val="21"/>
                <w:szCs w:val="21"/>
                <w:highlight w:val="none"/>
                <w:u w:val="none"/>
                <w:lang w:eastAsia="zh-CN"/>
              </w:rPr>
              <w:t>银河麒麟服务器操作系统软件许可（</w:t>
            </w:r>
            <w:r>
              <w:rPr>
                <w:rFonts w:hint="eastAsia" w:ascii="仿宋" w:hAnsi="仿宋" w:eastAsia="仿宋" w:cs="仿宋"/>
                <w:i w:val="0"/>
                <w:color w:val="auto"/>
                <w:sz w:val="21"/>
                <w:szCs w:val="21"/>
                <w:highlight w:val="none"/>
                <w:u w:val="none"/>
                <w:lang w:val="en-US" w:eastAsia="zh-CN"/>
              </w:rPr>
              <w:t>V10</w:t>
            </w:r>
            <w:r>
              <w:rPr>
                <w:rFonts w:hint="eastAsia" w:ascii="仿宋" w:hAnsi="仿宋" w:eastAsia="仿宋" w:cs="仿宋"/>
                <w:i w:val="0"/>
                <w:color w:val="auto"/>
                <w:sz w:val="21"/>
                <w:szCs w:val="21"/>
                <w:highlight w:val="none"/>
                <w:u w:val="none"/>
                <w:lang w:eastAsia="zh-CN"/>
              </w:rPr>
              <w:t>）</w:t>
            </w:r>
          </w:p>
        </w:tc>
        <w:tc>
          <w:tcPr>
            <w:tcW w:w="832"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30E2D94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58套</w:t>
            </w:r>
          </w:p>
        </w:tc>
        <w:tc>
          <w:tcPr>
            <w:tcW w:w="1132"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5FF8E54B">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sz w:val="21"/>
                <w:szCs w:val="21"/>
                <w:highlight w:val="none"/>
                <w:u w:val="none"/>
                <w:lang w:val="en-US" w:eastAsia="zh-CN"/>
              </w:rPr>
              <w:t>三年</w:t>
            </w:r>
          </w:p>
        </w:tc>
        <w:tc>
          <w:tcPr>
            <w:tcW w:w="1096"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67DF0DDC">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三年</w:t>
            </w:r>
          </w:p>
          <w:p w14:paraId="3D6CB727">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sz w:val="21"/>
                <w:szCs w:val="21"/>
                <w:highlight w:val="none"/>
                <w:u w:val="none"/>
                <w:lang w:val="en-US" w:eastAsia="zh-CN"/>
              </w:rPr>
              <w:t>7*24小时</w:t>
            </w:r>
          </w:p>
        </w:tc>
        <w:tc>
          <w:tcPr>
            <w:tcW w:w="889"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69912262">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官方原厂</w:t>
            </w:r>
          </w:p>
        </w:tc>
        <w:tc>
          <w:tcPr>
            <w:tcW w:w="1085"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06D040C0">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XX元</w:t>
            </w:r>
          </w:p>
        </w:tc>
      </w:tr>
      <w:tr w14:paraId="73EEB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jc w:val="center"/>
        </w:trPr>
        <w:tc>
          <w:tcPr>
            <w:tcW w:w="1366" w:type="dxa"/>
            <w:tcBorders>
              <w:top w:val="single" w:color="000000" w:sz="4"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34E71D4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2</w:t>
            </w:r>
          </w:p>
        </w:tc>
        <w:tc>
          <w:tcPr>
            <w:tcW w:w="2482" w:type="dxa"/>
            <w:tcBorders>
              <w:top w:val="single" w:color="000000" w:sz="4"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70538B7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sz w:val="21"/>
                <w:szCs w:val="21"/>
                <w:highlight w:val="none"/>
                <w:u w:val="none"/>
                <w:lang w:eastAsia="zh-CN"/>
              </w:rPr>
              <w:t>银河麒麟服务器操作系统软件许可（</w:t>
            </w:r>
            <w:r>
              <w:rPr>
                <w:rFonts w:hint="eastAsia" w:ascii="仿宋" w:hAnsi="仿宋" w:eastAsia="仿宋" w:cs="仿宋"/>
                <w:i w:val="0"/>
                <w:color w:val="auto"/>
                <w:sz w:val="21"/>
                <w:szCs w:val="21"/>
                <w:highlight w:val="none"/>
                <w:u w:val="none"/>
                <w:lang w:val="en-US" w:eastAsia="zh-CN"/>
              </w:rPr>
              <w:t>V11</w:t>
            </w:r>
            <w:r>
              <w:rPr>
                <w:rFonts w:hint="eastAsia" w:ascii="仿宋" w:hAnsi="仿宋" w:eastAsia="仿宋" w:cs="仿宋"/>
                <w:i w:val="0"/>
                <w:color w:val="auto"/>
                <w:sz w:val="21"/>
                <w:szCs w:val="21"/>
                <w:highlight w:val="none"/>
                <w:u w:val="none"/>
                <w:lang w:eastAsia="zh-CN"/>
              </w:rPr>
              <w:t>）</w:t>
            </w:r>
          </w:p>
        </w:tc>
        <w:tc>
          <w:tcPr>
            <w:tcW w:w="832"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5FEBED13">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10套</w:t>
            </w:r>
          </w:p>
        </w:tc>
        <w:tc>
          <w:tcPr>
            <w:tcW w:w="1132"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354BEC3C">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2"/>
                <w:sz w:val="21"/>
                <w:szCs w:val="21"/>
                <w:highlight w:val="none"/>
                <w:u w:val="none"/>
                <w:lang w:val="en-US" w:eastAsia="zh-CN" w:bidi="ar-SA"/>
              </w:rPr>
              <w:t>三年</w:t>
            </w:r>
          </w:p>
        </w:tc>
        <w:tc>
          <w:tcPr>
            <w:tcW w:w="1096"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2893BFC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三年</w:t>
            </w:r>
          </w:p>
          <w:p w14:paraId="66FD87E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2"/>
                <w:sz w:val="21"/>
                <w:szCs w:val="21"/>
                <w:highlight w:val="none"/>
                <w:u w:val="none"/>
                <w:lang w:val="en-US" w:eastAsia="zh-CN" w:bidi="ar-SA"/>
              </w:rPr>
              <w:t>7*24小时</w:t>
            </w:r>
          </w:p>
        </w:tc>
        <w:tc>
          <w:tcPr>
            <w:tcW w:w="889"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3C4DABEF">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官方原厂</w:t>
            </w:r>
          </w:p>
        </w:tc>
        <w:tc>
          <w:tcPr>
            <w:tcW w:w="1085"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563F8FD1">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XX元</w:t>
            </w:r>
          </w:p>
        </w:tc>
      </w:tr>
      <w:tr w14:paraId="12505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jc w:val="center"/>
        </w:trPr>
        <w:tc>
          <w:tcPr>
            <w:tcW w:w="1366" w:type="dxa"/>
            <w:tcBorders>
              <w:tl2br w:val="nil"/>
              <w:tr2bl w:val="nil"/>
            </w:tcBorders>
            <w:noWrap/>
            <w:tcMar>
              <w:top w:w="15" w:type="dxa"/>
              <w:left w:w="15" w:type="dxa"/>
              <w:right w:w="15" w:type="dxa"/>
            </w:tcMar>
            <w:vAlign w:val="center"/>
          </w:tcPr>
          <w:p w14:paraId="0BF96776">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4</w:t>
            </w:r>
          </w:p>
        </w:tc>
        <w:tc>
          <w:tcPr>
            <w:tcW w:w="2482" w:type="dxa"/>
            <w:tcBorders>
              <w:tl2br w:val="nil"/>
              <w:tr2bl w:val="nil"/>
            </w:tcBorders>
            <w:noWrap/>
            <w:tcMar>
              <w:top w:w="15" w:type="dxa"/>
              <w:left w:w="15" w:type="dxa"/>
              <w:right w:w="15" w:type="dxa"/>
            </w:tcMar>
            <w:vAlign w:val="center"/>
          </w:tcPr>
          <w:p w14:paraId="14890757">
            <w:pPr>
              <w:keepNext w:val="0"/>
              <w:keepLines w:val="0"/>
              <w:pageBreakBefore w:val="0"/>
              <w:kinsoku/>
              <w:wordWrap/>
              <w:overflowPunct/>
              <w:topLinePunct w:val="0"/>
              <w:autoSpaceDN/>
              <w:bidi w:val="0"/>
              <w:adjustRightInd/>
              <w:snapToGrid/>
              <w:spacing w:line="240" w:lineRule="auto"/>
              <w:jc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人天技术支持服务</w:t>
            </w:r>
          </w:p>
        </w:tc>
        <w:tc>
          <w:tcPr>
            <w:tcW w:w="832" w:type="dxa"/>
            <w:tcBorders>
              <w:tl2br w:val="nil"/>
              <w:tr2bl w:val="nil"/>
            </w:tcBorders>
            <w:noWrap/>
            <w:tcMar>
              <w:top w:w="15" w:type="dxa"/>
              <w:left w:w="15" w:type="dxa"/>
              <w:right w:w="15" w:type="dxa"/>
            </w:tcMar>
            <w:vAlign w:val="center"/>
          </w:tcPr>
          <w:p w14:paraId="1D6A5659">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5人天</w:t>
            </w:r>
          </w:p>
        </w:tc>
        <w:tc>
          <w:tcPr>
            <w:tcW w:w="1132" w:type="dxa"/>
            <w:tcBorders>
              <w:tl2br w:val="nil"/>
              <w:tr2bl w:val="nil"/>
            </w:tcBorders>
            <w:noWrap/>
            <w:tcMar>
              <w:top w:w="15" w:type="dxa"/>
              <w:left w:w="15" w:type="dxa"/>
              <w:right w:w="15" w:type="dxa"/>
            </w:tcMar>
            <w:vAlign w:val="center"/>
          </w:tcPr>
          <w:p w14:paraId="50F3132B">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三年</w:t>
            </w:r>
          </w:p>
        </w:tc>
        <w:tc>
          <w:tcPr>
            <w:tcW w:w="1096" w:type="dxa"/>
            <w:tcBorders>
              <w:tl2br w:val="nil"/>
              <w:tr2bl w:val="nil"/>
            </w:tcBorders>
            <w:noWrap/>
            <w:tcMar>
              <w:top w:w="15" w:type="dxa"/>
              <w:left w:w="15" w:type="dxa"/>
              <w:right w:w="15" w:type="dxa"/>
            </w:tcMar>
            <w:vAlign w:val="center"/>
          </w:tcPr>
          <w:p w14:paraId="3CE0BF6F">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三年</w:t>
            </w:r>
          </w:p>
        </w:tc>
        <w:tc>
          <w:tcPr>
            <w:tcW w:w="889" w:type="dxa"/>
            <w:tcBorders>
              <w:tl2br w:val="nil"/>
              <w:tr2bl w:val="nil"/>
            </w:tcBorders>
            <w:noWrap/>
            <w:tcMar>
              <w:top w:w="15" w:type="dxa"/>
              <w:left w:w="15" w:type="dxa"/>
              <w:right w:w="15" w:type="dxa"/>
            </w:tcMar>
            <w:vAlign w:val="center"/>
          </w:tcPr>
          <w:p w14:paraId="26F7F9A3">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官方原厂</w:t>
            </w:r>
          </w:p>
        </w:tc>
        <w:tc>
          <w:tcPr>
            <w:tcW w:w="1085" w:type="dxa"/>
            <w:tcBorders>
              <w:tl2br w:val="nil"/>
              <w:tr2bl w:val="nil"/>
            </w:tcBorders>
            <w:noWrap/>
            <w:tcMar>
              <w:top w:w="15" w:type="dxa"/>
              <w:left w:w="15" w:type="dxa"/>
              <w:right w:w="15" w:type="dxa"/>
            </w:tcMar>
            <w:vAlign w:val="center"/>
          </w:tcPr>
          <w:p w14:paraId="6AC6509D">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XX元</w:t>
            </w:r>
          </w:p>
        </w:tc>
      </w:tr>
      <w:tr w14:paraId="52B45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jc w:val="center"/>
        </w:trPr>
        <w:tc>
          <w:tcPr>
            <w:tcW w:w="7797" w:type="dxa"/>
            <w:gridSpan w:val="6"/>
            <w:tcBorders>
              <w:tl2br w:val="nil"/>
              <w:tr2bl w:val="nil"/>
            </w:tcBorders>
            <w:noWrap/>
            <w:tcMar>
              <w:top w:w="15" w:type="dxa"/>
              <w:left w:w="15" w:type="dxa"/>
              <w:right w:w="15" w:type="dxa"/>
            </w:tcMar>
            <w:vAlign w:val="center"/>
          </w:tcPr>
          <w:p w14:paraId="5BC9C4C2">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sz w:val="21"/>
                <w:szCs w:val="21"/>
                <w:highlight w:val="none"/>
                <w:u w:val="none"/>
                <w:lang w:val="en-US" w:eastAsia="zh-CN"/>
              </w:rPr>
              <w:t>总报价（小写）：</w:t>
            </w:r>
          </w:p>
        </w:tc>
        <w:tc>
          <w:tcPr>
            <w:tcW w:w="1085" w:type="dxa"/>
            <w:tcBorders>
              <w:tl2br w:val="nil"/>
              <w:tr2bl w:val="nil"/>
            </w:tcBorders>
            <w:noWrap/>
            <w:tcMar>
              <w:top w:w="15" w:type="dxa"/>
              <w:left w:w="15" w:type="dxa"/>
              <w:right w:w="15" w:type="dxa"/>
            </w:tcMar>
            <w:vAlign w:val="center"/>
          </w:tcPr>
          <w:p w14:paraId="6E341F3E">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p>
        </w:tc>
      </w:tr>
      <w:tr w14:paraId="54253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jc w:val="center"/>
        </w:trPr>
        <w:tc>
          <w:tcPr>
            <w:tcW w:w="7797" w:type="dxa"/>
            <w:gridSpan w:val="6"/>
            <w:tcBorders>
              <w:tl2br w:val="nil"/>
              <w:tr2bl w:val="nil"/>
            </w:tcBorders>
            <w:noWrap/>
            <w:tcMar>
              <w:top w:w="15" w:type="dxa"/>
              <w:left w:w="15" w:type="dxa"/>
              <w:right w:w="15" w:type="dxa"/>
            </w:tcMar>
            <w:vAlign w:val="center"/>
          </w:tcPr>
          <w:p w14:paraId="0C543B01">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sz w:val="21"/>
                <w:szCs w:val="21"/>
                <w:highlight w:val="none"/>
                <w:u w:val="none"/>
                <w:lang w:val="en-US" w:eastAsia="zh-CN"/>
              </w:rPr>
              <w:t>总报价（大写）：</w:t>
            </w:r>
          </w:p>
        </w:tc>
        <w:tc>
          <w:tcPr>
            <w:tcW w:w="1085" w:type="dxa"/>
            <w:tcBorders>
              <w:tl2br w:val="nil"/>
              <w:tr2bl w:val="nil"/>
            </w:tcBorders>
            <w:noWrap/>
            <w:tcMar>
              <w:top w:w="15" w:type="dxa"/>
              <w:left w:w="15" w:type="dxa"/>
              <w:right w:w="15" w:type="dxa"/>
            </w:tcMar>
            <w:vAlign w:val="center"/>
          </w:tcPr>
          <w:p w14:paraId="27DC7B83">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p>
        </w:tc>
      </w:tr>
    </w:tbl>
    <w:p w14:paraId="1684D4B8">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47F426B8">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699EBD2C">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72402069">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61FEA964">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6472801F">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r>
        <w:rPr>
          <w:rFonts w:hint="eastAsia" w:ascii="Times New Roman" w:hAnsi="Times New Roman" w:eastAsia="仿宋" w:cs="Times New Roman"/>
          <w:b/>
          <w:bCs/>
          <w:color w:val="auto"/>
          <w:spacing w:val="0"/>
          <w:kern w:val="0"/>
          <w:sz w:val="28"/>
          <w:szCs w:val="28"/>
          <w:highlight w:val="none"/>
          <w:lang w:val="en-US" w:eastAsia="zh-CN" w:bidi="ar"/>
        </w:rPr>
        <w:t>附件2：最终报价表</w:t>
      </w:r>
    </w:p>
    <w:p w14:paraId="17153105">
      <w:pPr>
        <w:keepNext w:val="0"/>
        <w:keepLines w:val="0"/>
        <w:pageBreakBefore w:val="0"/>
        <w:kinsoku/>
        <w:wordWrap/>
        <w:overflowPunct/>
        <w:topLinePunct w:val="0"/>
        <w:autoSpaceDN/>
        <w:bidi w:val="0"/>
        <w:adjustRightInd/>
        <w:snapToGrid/>
        <w:spacing w:before="380" w:after="140" w:line="560" w:lineRule="exact"/>
        <w:ind w:left="0"/>
        <w:jc w:val="center"/>
        <w:outlineLvl w:val="0"/>
      </w:pPr>
      <w:r>
        <w:rPr>
          <w:rFonts w:hint="eastAsia" w:ascii="Arial" w:hAnsi="Arial" w:eastAsia="等线" w:cs="Arial"/>
          <w:b/>
          <w:sz w:val="36"/>
          <w:lang w:eastAsia="zh-CN"/>
        </w:rPr>
        <w:t>最终</w:t>
      </w:r>
      <w:r>
        <w:rPr>
          <w:rFonts w:ascii="Arial" w:hAnsi="Arial" w:eastAsia="等线" w:cs="Arial"/>
          <w:b/>
          <w:sz w:val="36"/>
        </w:rPr>
        <w:t>报价表</w:t>
      </w:r>
    </w:p>
    <w:p w14:paraId="369E6275">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 xml:space="preserve">报价单位（盖章）：________________________  </w:t>
      </w:r>
    </w:p>
    <w:p w14:paraId="194005E7">
      <w:pPr>
        <w:keepNext w:val="0"/>
        <w:keepLines w:val="0"/>
        <w:pageBreakBefore w:val="0"/>
        <w:kinsoku/>
        <w:wordWrap/>
        <w:overflowPunct/>
        <w:topLinePunct w:val="0"/>
        <w:autoSpaceDN/>
        <w:bidi w:val="0"/>
        <w:adjustRightInd/>
        <w:snapToGrid/>
        <w:spacing w:before="120" w:after="120" w:line="560" w:lineRule="exact"/>
        <w:ind w:left="0"/>
        <w:jc w:val="left"/>
      </w:pPr>
      <w:r>
        <w:rPr>
          <w:rFonts w:ascii="Arial" w:hAnsi="Arial" w:eastAsia="等线" w:cs="Arial"/>
          <w:sz w:val="22"/>
        </w:rPr>
        <w:t>法定代表人/授权</w:t>
      </w:r>
      <w:r>
        <w:rPr>
          <w:rFonts w:hint="eastAsia" w:ascii="Arial" w:hAnsi="Arial" w:eastAsia="等线" w:cs="Arial"/>
          <w:sz w:val="22"/>
          <w:lang w:eastAsia="zh-CN"/>
        </w:rPr>
        <w:t>代表人</w:t>
      </w:r>
      <w:r>
        <w:rPr>
          <w:rFonts w:ascii="Arial" w:hAnsi="Arial" w:eastAsia="等线" w:cs="Arial"/>
          <w:sz w:val="22"/>
        </w:rPr>
        <w:t>（签字）：________________________</w:t>
      </w:r>
    </w:p>
    <w:p w14:paraId="47845E21">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项目名称：</w:t>
      </w:r>
      <w:r>
        <w:rPr>
          <w:rFonts w:hint="default" w:ascii="Arial" w:hAnsi="Arial" w:eastAsia="等线" w:cs="Arial"/>
          <w:sz w:val="22"/>
          <w:szCs w:val="22"/>
          <w:highlight w:val="none"/>
          <w:lang w:eastAsia="zh-CN"/>
        </w:rPr>
        <w:t>云资源服务器操作系统采购</w:t>
      </w:r>
      <w:r>
        <w:rPr>
          <w:rFonts w:hint="default" w:ascii="Arial" w:hAnsi="Arial" w:eastAsia="等线" w:cs="Arial"/>
          <w:b w:val="0"/>
          <w:bCs w:val="0"/>
          <w:i w:val="0"/>
          <w:caps w:val="0"/>
          <w:spacing w:val="0"/>
          <w:kern w:val="2"/>
          <w:sz w:val="22"/>
          <w:szCs w:val="22"/>
          <w:highlight w:val="none"/>
          <w:shd w:val="clear"/>
          <w:lang w:val="en-US" w:eastAsia="zh-CN" w:bidi="ar"/>
        </w:rPr>
        <w:t>项目</w:t>
      </w:r>
      <w:r>
        <w:rPr>
          <w:rFonts w:ascii="Arial" w:hAnsi="Arial" w:eastAsia="等线" w:cs="Arial"/>
          <w:sz w:val="22"/>
        </w:rPr>
        <w:t xml:space="preserve">  </w:t>
      </w:r>
    </w:p>
    <w:p w14:paraId="034E5992">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 xml:space="preserve">磋商方式：竞争性磋商  </w:t>
      </w:r>
    </w:p>
    <w:p w14:paraId="51796B13">
      <w:pPr>
        <w:keepNext w:val="0"/>
        <w:keepLines w:val="0"/>
        <w:pageBreakBefore w:val="0"/>
        <w:kinsoku/>
        <w:wordWrap/>
        <w:overflowPunct/>
        <w:topLinePunct w:val="0"/>
        <w:autoSpaceDN/>
        <w:bidi w:val="0"/>
        <w:adjustRightInd/>
        <w:snapToGrid/>
        <w:spacing w:before="120" w:after="120" w:line="560" w:lineRule="exact"/>
        <w:ind w:left="0"/>
        <w:jc w:val="left"/>
      </w:pPr>
      <w:r>
        <w:rPr>
          <w:rFonts w:ascii="Arial" w:hAnsi="Arial" w:eastAsia="等线" w:cs="Arial"/>
          <w:sz w:val="22"/>
        </w:rPr>
        <w:t>报价轮次：</w:t>
      </w:r>
      <w:r>
        <w:rPr>
          <w:rFonts w:hint="eastAsia" w:ascii="Arial" w:hAnsi="Arial" w:eastAsia="等线" w:cs="Arial"/>
          <w:sz w:val="22"/>
          <w:lang w:eastAsia="zh-CN"/>
        </w:rPr>
        <w:t>最终轮</w:t>
      </w:r>
    </w:p>
    <w:p w14:paraId="370C66F5">
      <w:pPr>
        <w:keepNext w:val="0"/>
        <w:keepLines w:val="0"/>
        <w:pageBreakBefore w:val="0"/>
        <w:kinsoku/>
        <w:wordWrap/>
        <w:overflowPunct/>
        <w:topLinePunct w:val="0"/>
        <w:autoSpaceDN/>
        <w:bidi w:val="0"/>
        <w:adjustRightInd/>
        <w:snapToGrid/>
        <w:spacing w:before="120" w:after="120" w:line="560" w:lineRule="exact"/>
        <w:ind w:left="0"/>
        <w:jc w:val="left"/>
        <w:rPr>
          <w:rFonts w:ascii="Arial" w:hAnsi="Arial" w:eastAsia="等线" w:cs="Arial"/>
          <w:sz w:val="22"/>
        </w:rPr>
      </w:pPr>
      <w:r>
        <w:rPr>
          <w:rFonts w:ascii="Arial" w:hAnsi="Arial" w:eastAsia="等线" w:cs="Arial"/>
          <w:sz w:val="22"/>
        </w:rPr>
        <w:t xml:space="preserve">报价日期：______年____月____日  </w:t>
      </w:r>
    </w:p>
    <w:p w14:paraId="05456C14">
      <w:pPr>
        <w:keepNext w:val="0"/>
        <w:keepLines w:val="0"/>
        <w:pageBreakBefore w:val="0"/>
        <w:kinsoku/>
        <w:wordWrap/>
        <w:overflowPunct/>
        <w:topLinePunct w:val="0"/>
        <w:autoSpaceDN/>
        <w:bidi w:val="0"/>
        <w:adjustRightInd/>
        <w:snapToGrid/>
        <w:spacing w:before="120" w:after="120" w:line="560" w:lineRule="exact"/>
        <w:ind w:left="0"/>
        <w:jc w:val="left"/>
        <w:rPr>
          <w:rFonts w:hint="eastAsia" w:ascii="Arial" w:hAnsi="Arial" w:eastAsia="等线" w:cs="Arial"/>
          <w:sz w:val="22"/>
          <w:lang w:val="en-US" w:eastAsia="zh-CN"/>
        </w:rPr>
      </w:pPr>
      <w:r>
        <w:rPr>
          <w:rFonts w:hint="eastAsia" w:ascii="Arial" w:hAnsi="Arial" w:eastAsia="等线" w:cs="Arial"/>
          <w:sz w:val="22"/>
          <w:lang w:val="en-US" w:eastAsia="zh-CN"/>
        </w:rPr>
        <w:t>注：本次报价均为税后报价，总报价包含本项目所有费用。</w:t>
      </w:r>
    </w:p>
    <w:tbl>
      <w:tblPr>
        <w:tblStyle w:val="13"/>
        <w:tblW w:w="888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66"/>
        <w:gridCol w:w="2482"/>
        <w:gridCol w:w="832"/>
        <w:gridCol w:w="1028"/>
        <w:gridCol w:w="1104"/>
        <w:gridCol w:w="985"/>
        <w:gridCol w:w="1085"/>
      </w:tblGrid>
      <w:tr w14:paraId="0AE19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4" w:hRule="atLeast"/>
          <w:jc w:val="center"/>
        </w:trPr>
        <w:tc>
          <w:tcPr>
            <w:tcW w:w="1366" w:type="dxa"/>
            <w:tcBorders>
              <w:top w:val="single" w:color="000000" w:sz="8" w:space="0"/>
              <w:left w:val="single" w:color="000000" w:sz="8"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6CF12B89">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kern w:val="0"/>
                <w:sz w:val="21"/>
                <w:szCs w:val="21"/>
                <w:highlight w:val="none"/>
                <w:u w:val="none"/>
                <w:lang w:val="en-US" w:eastAsia="zh-CN" w:bidi="ar"/>
              </w:rPr>
            </w:pPr>
            <w:r>
              <w:rPr>
                <w:rFonts w:hint="eastAsia" w:ascii="仿宋" w:hAnsi="仿宋" w:eastAsia="仿宋" w:cs="仿宋"/>
                <w:b/>
                <w:bCs/>
                <w:i w:val="0"/>
                <w:color w:val="auto"/>
                <w:kern w:val="0"/>
                <w:sz w:val="21"/>
                <w:szCs w:val="21"/>
                <w:highlight w:val="none"/>
                <w:u w:val="none"/>
                <w:lang w:val="en-US" w:eastAsia="zh-CN" w:bidi="ar"/>
              </w:rPr>
              <w:t>序号</w:t>
            </w:r>
          </w:p>
        </w:tc>
        <w:tc>
          <w:tcPr>
            <w:tcW w:w="2482" w:type="dxa"/>
            <w:tcBorders>
              <w:top w:val="single" w:color="000000" w:sz="8" w:space="0"/>
              <w:left w:val="single" w:color="000000" w:sz="8"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25CCB021">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rPr>
            </w:pPr>
            <w:r>
              <w:rPr>
                <w:rFonts w:hint="eastAsia" w:ascii="仿宋" w:hAnsi="仿宋" w:eastAsia="仿宋" w:cs="仿宋"/>
                <w:b/>
                <w:bCs/>
                <w:i w:val="0"/>
                <w:color w:val="auto"/>
                <w:sz w:val="21"/>
                <w:szCs w:val="21"/>
                <w:highlight w:val="none"/>
                <w:u w:val="none"/>
                <w:lang w:eastAsia="zh-CN"/>
              </w:rPr>
              <w:t>产品</w:t>
            </w:r>
          </w:p>
        </w:tc>
        <w:tc>
          <w:tcPr>
            <w:tcW w:w="832"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3D934E6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rPr>
            </w:pPr>
            <w:r>
              <w:rPr>
                <w:rFonts w:hint="eastAsia" w:ascii="仿宋" w:hAnsi="仿宋" w:eastAsia="仿宋" w:cs="仿宋"/>
                <w:b/>
                <w:bCs/>
                <w:i w:val="0"/>
                <w:color w:val="auto"/>
                <w:kern w:val="0"/>
                <w:sz w:val="21"/>
                <w:szCs w:val="21"/>
                <w:highlight w:val="none"/>
                <w:u w:val="none"/>
                <w:lang w:val="en-US" w:eastAsia="zh-CN" w:bidi="ar"/>
              </w:rPr>
              <w:t>数量</w:t>
            </w:r>
          </w:p>
        </w:tc>
        <w:tc>
          <w:tcPr>
            <w:tcW w:w="1028"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03C6438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维保服务</w:t>
            </w:r>
          </w:p>
          <w:p w14:paraId="7BCB2C80">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采购年限</w:t>
            </w:r>
          </w:p>
        </w:tc>
        <w:tc>
          <w:tcPr>
            <w:tcW w:w="1104"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4AA2291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val="en-US" w:eastAsia="zh-CN"/>
              </w:rPr>
            </w:pPr>
            <w:r>
              <w:rPr>
                <w:rFonts w:hint="eastAsia" w:ascii="仿宋" w:hAnsi="仿宋" w:eastAsia="仿宋" w:cs="仿宋"/>
                <w:b/>
                <w:bCs/>
                <w:i w:val="0"/>
                <w:color w:val="auto"/>
                <w:sz w:val="21"/>
                <w:szCs w:val="21"/>
                <w:highlight w:val="none"/>
                <w:u w:val="none"/>
                <w:lang w:val="en-US" w:eastAsia="zh-CN"/>
              </w:rPr>
              <w:t>维保服务</w:t>
            </w:r>
          </w:p>
          <w:p w14:paraId="35825716">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kern w:val="2"/>
                <w:sz w:val="21"/>
                <w:szCs w:val="21"/>
                <w:highlight w:val="none"/>
                <w:u w:val="none"/>
                <w:lang w:val="en-US" w:eastAsia="zh-CN" w:bidi="ar-SA"/>
              </w:rPr>
            </w:pPr>
            <w:r>
              <w:rPr>
                <w:rFonts w:hint="eastAsia" w:ascii="仿宋" w:hAnsi="仿宋" w:eastAsia="仿宋" w:cs="仿宋"/>
                <w:b/>
                <w:bCs/>
                <w:i w:val="0"/>
                <w:color w:val="auto"/>
                <w:sz w:val="21"/>
                <w:szCs w:val="21"/>
                <w:highlight w:val="none"/>
                <w:u w:val="none"/>
                <w:lang w:val="en-US" w:eastAsia="zh-CN"/>
              </w:rPr>
              <w:t>采购年限和服务级别</w:t>
            </w:r>
          </w:p>
        </w:tc>
        <w:tc>
          <w:tcPr>
            <w:tcW w:w="985"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128F6EC0">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维保服务</w:t>
            </w:r>
          </w:p>
          <w:p w14:paraId="49A844F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类型</w:t>
            </w:r>
          </w:p>
        </w:tc>
        <w:tc>
          <w:tcPr>
            <w:tcW w:w="1085" w:type="dxa"/>
            <w:tcBorders>
              <w:top w:val="single" w:color="000000" w:sz="8" w:space="0"/>
              <w:left w:val="single" w:color="000000" w:sz="4" w:space="0"/>
              <w:bottom w:val="single" w:color="000000" w:sz="8" w:space="0"/>
              <w:right w:val="single" w:color="000000" w:sz="4" w:space="0"/>
              <w:tl2br w:val="nil"/>
              <w:tr2bl w:val="nil"/>
            </w:tcBorders>
            <w:shd w:val="clear" w:color="auto" w:fill="auto"/>
            <w:noWrap/>
            <w:tcMar>
              <w:top w:w="15" w:type="dxa"/>
              <w:left w:w="15" w:type="dxa"/>
              <w:right w:w="15" w:type="dxa"/>
            </w:tcMar>
            <w:vAlign w:val="center"/>
          </w:tcPr>
          <w:p w14:paraId="168935A5">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税后报价</w:t>
            </w:r>
          </w:p>
          <w:p w14:paraId="6FE56B50">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b/>
                <w:bCs/>
                <w:i w:val="0"/>
                <w:color w:val="auto"/>
                <w:sz w:val="21"/>
                <w:szCs w:val="21"/>
                <w:highlight w:val="none"/>
                <w:u w:val="none"/>
                <w:lang w:eastAsia="zh-CN"/>
              </w:rPr>
            </w:pPr>
            <w:r>
              <w:rPr>
                <w:rFonts w:hint="eastAsia" w:ascii="仿宋" w:hAnsi="仿宋" w:eastAsia="仿宋" w:cs="仿宋"/>
                <w:b/>
                <w:bCs/>
                <w:i w:val="0"/>
                <w:color w:val="auto"/>
                <w:sz w:val="21"/>
                <w:szCs w:val="21"/>
                <w:highlight w:val="none"/>
                <w:u w:val="none"/>
                <w:lang w:eastAsia="zh-CN"/>
              </w:rPr>
              <w:t>单位：元</w:t>
            </w:r>
          </w:p>
        </w:tc>
      </w:tr>
      <w:tr w14:paraId="77B33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1" w:hRule="atLeast"/>
          <w:jc w:val="center"/>
        </w:trPr>
        <w:tc>
          <w:tcPr>
            <w:tcW w:w="1366" w:type="dxa"/>
            <w:tcBorders>
              <w:top w:val="single" w:color="000000" w:sz="8"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7C98F75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1</w:t>
            </w:r>
          </w:p>
        </w:tc>
        <w:tc>
          <w:tcPr>
            <w:tcW w:w="2482" w:type="dxa"/>
            <w:tcBorders>
              <w:top w:val="single" w:color="000000" w:sz="8"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21399817">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sz w:val="21"/>
                <w:szCs w:val="21"/>
                <w:highlight w:val="none"/>
                <w:u w:val="none"/>
                <w:lang w:eastAsia="zh-CN"/>
              </w:rPr>
              <w:t>银河麒麟服务器操作系统软件许可（</w:t>
            </w:r>
            <w:r>
              <w:rPr>
                <w:rFonts w:hint="eastAsia" w:ascii="仿宋" w:hAnsi="仿宋" w:eastAsia="仿宋" w:cs="仿宋"/>
                <w:i w:val="0"/>
                <w:color w:val="auto"/>
                <w:sz w:val="21"/>
                <w:szCs w:val="21"/>
                <w:highlight w:val="none"/>
                <w:u w:val="none"/>
                <w:lang w:val="en-US" w:eastAsia="zh-CN"/>
              </w:rPr>
              <w:t>V10</w:t>
            </w:r>
            <w:r>
              <w:rPr>
                <w:rFonts w:hint="eastAsia" w:ascii="仿宋" w:hAnsi="仿宋" w:eastAsia="仿宋" w:cs="仿宋"/>
                <w:i w:val="0"/>
                <w:color w:val="auto"/>
                <w:sz w:val="21"/>
                <w:szCs w:val="21"/>
                <w:highlight w:val="none"/>
                <w:u w:val="none"/>
                <w:lang w:eastAsia="zh-CN"/>
              </w:rPr>
              <w:t>）</w:t>
            </w:r>
          </w:p>
        </w:tc>
        <w:tc>
          <w:tcPr>
            <w:tcW w:w="832"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2448879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58套</w:t>
            </w:r>
          </w:p>
        </w:tc>
        <w:tc>
          <w:tcPr>
            <w:tcW w:w="1028"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0FF92C98">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sz w:val="21"/>
                <w:szCs w:val="21"/>
                <w:highlight w:val="none"/>
                <w:u w:val="none"/>
                <w:lang w:val="en-US" w:eastAsia="zh-CN"/>
              </w:rPr>
              <w:t>三年</w:t>
            </w:r>
          </w:p>
        </w:tc>
        <w:tc>
          <w:tcPr>
            <w:tcW w:w="1104" w:type="dxa"/>
            <w:tcBorders>
              <w:top w:val="single" w:color="000000" w:sz="8"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14:paraId="31FBFDF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三年</w:t>
            </w:r>
          </w:p>
          <w:p w14:paraId="763332D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sz w:val="21"/>
                <w:szCs w:val="21"/>
                <w:highlight w:val="none"/>
                <w:u w:val="none"/>
                <w:lang w:val="en-US" w:eastAsia="zh-CN"/>
              </w:rPr>
              <w:t>7*24小时</w:t>
            </w:r>
          </w:p>
        </w:tc>
        <w:tc>
          <w:tcPr>
            <w:tcW w:w="985"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23A73077">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官方原厂</w:t>
            </w:r>
          </w:p>
        </w:tc>
        <w:tc>
          <w:tcPr>
            <w:tcW w:w="1085" w:type="dxa"/>
            <w:tcBorders>
              <w:top w:val="single" w:color="000000" w:sz="8"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357A773D">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XX元</w:t>
            </w:r>
          </w:p>
        </w:tc>
      </w:tr>
      <w:tr w14:paraId="0B2B7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jc w:val="center"/>
        </w:trPr>
        <w:tc>
          <w:tcPr>
            <w:tcW w:w="1366" w:type="dxa"/>
            <w:tcBorders>
              <w:top w:val="single" w:color="000000" w:sz="4"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7DD0D28D">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2</w:t>
            </w:r>
          </w:p>
        </w:tc>
        <w:tc>
          <w:tcPr>
            <w:tcW w:w="2482" w:type="dxa"/>
            <w:tcBorders>
              <w:top w:val="single" w:color="000000" w:sz="4" w:space="0"/>
              <w:left w:val="single" w:color="000000" w:sz="8" w:space="0"/>
              <w:bottom w:val="single" w:color="000000" w:sz="4" w:space="0"/>
              <w:right w:val="single" w:color="000000" w:sz="4" w:space="0"/>
              <w:tl2br w:val="nil"/>
              <w:tr2bl w:val="nil"/>
            </w:tcBorders>
            <w:noWrap/>
            <w:tcMar>
              <w:top w:w="15" w:type="dxa"/>
              <w:left w:w="15" w:type="dxa"/>
              <w:right w:w="15" w:type="dxa"/>
            </w:tcMar>
            <w:vAlign w:val="center"/>
          </w:tcPr>
          <w:p w14:paraId="0D9D6A10">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rPr>
            </w:pPr>
            <w:r>
              <w:rPr>
                <w:rFonts w:hint="eastAsia" w:ascii="仿宋" w:hAnsi="仿宋" w:eastAsia="仿宋" w:cs="仿宋"/>
                <w:i w:val="0"/>
                <w:color w:val="auto"/>
                <w:sz w:val="21"/>
                <w:szCs w:val="21"/>
                <w:highlight w:val="none"/>
                <w:u w:val="none"/>
                <w:lang w:eastAsia="zh-CN"/>
              </w:rPr>
              <w:t>银河麒麟服务器操作系统软件许可（</w:t>
            </w:r>
            <w:r>
              <w:rPr>
                <w:rFonts w:hint="eastAsia" w:ascii="仿宋" w:hAnsi="仿宋" w:eastAsia="仿宋" w:cs="仿宋"/>
                <w:i w:val="0"/>
                <w:color w:val="auto"/>
                <w:sz w:val="21"/>
                <w:szCs w:val="21"/>
                <w:highlight w:val="none"/>
                <w:u w:val="none"/>
                <w:lang w:val="en-US" w:eastAsia="zh-CN"/>
              </w:rPr>
              <w:t>V11</w:t>
            </w:r>
            <w:r>
              <w:rPr>
                <w:rFonts w:hint="eastAsia" w:ascii="仿宋" w:hAnsi="仿宋" w:eastAsia="仿宋" w:cs="仿宋"/>
                <w:i w:val="0"/>
                <w:color w:val="auto"/>
                <w:sz w:val="21"/>
                <w:szCs w:val="21"/>
                <w:highlight w:val="none"/>
                <w:u w:val="none"/>
                <w:lang w:eastAsia="zh-CN"/>
              </w:rPr>
              <w:t>）</w:t>
            </w:r>
          </w:p>
        </w:tc>
        <w:tc>
          <w:tcPr>
            <w:tcW w:w="832"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628F7C4B">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10套</w:t>
            </w:r>
          </w:p>
        </w:tc>
        <w:tc>
          <w:tcPr>
            <w:tcW w:w="1028"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4E4485EE">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2"/>
                <w:sz w:val="21"/>
                <w:szCs w:val="21"/>
                <w:highlight w:val="none"/>
                <w:u w:val="none"/>
                <w:lang w:val="en-US" w:eastAsia="zh-CN" w:bidi="ar-SA"/>
              </w:rPr>
              <w:t>三年</w:t>
            </w:r>
          </w:p>
        </w:tc>
        <w:tc>
          <w:tcPr>
            <w:tcW w:w="1104"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tcMar>
              <w:top w:w="15" w:type="dxa"/>
              <w:left w:w="15" w:type="dxa"/>
              <w:right w:w="15" w:type="dxa"/>
            </w:tcMar>
            <w:vAlign w:val="center"/>
          </w:tcPr>
          <w:p w14:paraId="39BE77FF">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三年</w:t>
            </w:r>
          </w:p>
          <w:p w14:paraId="63382A16">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7*24小时</w:t>
            </w:r>
          </w:p>
        </w:tc>
        <w:tc>
          <w:tcPr>
            <w:tcW w:w="985"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3D275583">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官方原厂</w:t>
            </w:r>
          </w:p>
        </w:tc>
        <w:tc>
          <w:tcPr>
            <w:tcW w:w="1085" w:type="dxa"/>
            <w:tcBorders>
              <w:top w:val="single" w:color="000000" w:sz="4" w:space="0"/>
              <w:left w:val="single" w:color="000000" w:sz="4" w:space="0"/>
              <w:bottom w:val="single" w:color="000000" w:sz="4" w:space="0"/>
              <w:right w:val="single" w:color="000000" w:sz="4" w:space="0"/>
              <w:tl2br w:val="nil"/>
              <w:tr2bl w:val="nil"/>
            </w:tcBorders>
            <w:noWrap/>
            <w:tcMar>
              <w:top w:w="15" w:type="dxa"/>
              <w:left w:w="15" w:type="dxa"/>
              <w:right w:w="15" w:type="dxa"/>
            </w:tcMar>
            <w:vAlign w:val="center"/>
          </w:tcPr>
          <w:p w14:paraId="74815D3D">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XX元</w:t>
            </w:r>
          </w:p>
        </w:tc>
      </w:tr>
      <w:tr w14:paraId="7AD10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jc w:val="center"/>
        </w:trPr>
        <w:tc>
          <w:tcPr>
            <w:tcW w:w="1366" w:type="dxa"/>
            <w:tcBorders>
              <w:tl2br w:val="nil"/>
              <w:tr2bl w:val="nil"/>
            </w:tcBorders>
            <w:noWrap/>
            <w:tcMar>
              <w:top w:w="15" w:type="dxa"/>
              <w:left w:w="15" w:type="dxa"/>
              <w:right w:w="15" w:type="dxa"/>
            </w:tcMar>
            <w:vAlign w:val="center"/>
          </w:tcPr>
          <w:p w14:paraId="2047DEB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4</w:t>
            </w:r>
          </w:p>
        </w:tc>
        <w:tc>
          <w:tcPr>
            <w:tcW w:w="2482" w:type="dxa"/>
            <w:tcBorders>
              <w:tl2br w:val="nil"/>
              <w:tr2bl w:val="nil"/>
            </w:tcBorders>
            <w:noWrap/>
            <w:tcMar>
              <w:top w:w="15" w:type="dxa"/>
              <w:left w:w="15" w:type="dxa"/>
              <w:right w:w="15" w:type="dxa"/>
            </w:tcMar>
            <w:vAlign w:val="center"/>
          </w:tcPr>
          <w:p w14:paraId="4D1ECC94">
            <w:pPr>
              <w:keepNext w:val="0"/>
              <w:keepLines w:val="0"/>
              <w:pageBreakBefore w:val="0"/>
              <w:kinsoku/>
              <w:wordWrap/>
              <w:overflowPunct/>
              <w:topLinePunct w:val="0"/>
              <w:autoSpaceDN/>
              <w:bidi w:val="0"/>
              <w:adjustRightInd/>
              <w:snapToGrid/>
              <w:spacing w:line="240" w:lineRule="auto"/>
              <w:jc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2"/>
                <w:sz w:val="21"/>
                <w:szCs w:val="21"/>
                <w:highlight w:val="none"/>
                <w:u w:val="none"/>
                <w:lang w:val="en-US" w:eastAsia="zh-CN" w:bidi="ar-SA"/>
              </w:rPr>
              <w:t>人天技术支持服务</w:t>
            </w:r>
          </w:p>
        </w:tc>
        <w:tc>
          <w:tcPr>
            <w:tcW w:w="832" w:type="dxa"/>
            <w:tcBorders>
              <w:tl2br w:val="nil"/>
              <w:tr2bl w:val="nil"/>
            </w:tcBorders>
            <w:noWrap/>
            <w:tcMar>
              <w:top w:w="15" w:type="dxa"/>
              <w:left w:w="15" w:type="dxa"/>
              <w:right w:w="15" w:type="dxa"/>
            </w:tcMar>
            <w:vAlign w:val="center"/>
          </w:tcPr>
          <w:p w14:paraId="4D85AC2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default"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sz w:val="21"/>
                <w:szCs w:val="21"/>
                <w:highlight w:val="none"/>
                <w:u w:val="none"/>
                <w:lang w:val="en-US" w:eastAsia="zh-CN"/>
              </w:rPr>
              <w:t>5人天</w:t>
            </w:r>
          </w:p>
        </w:tc>
        <w:tc>
          <w:tcPr>
            <w:tcW w:w="1028" w:type="dxa"/>
            <w:tcBorders>
              <w:tl2br w:val="nil"/>
              <w:tr2bl w:val="nil"/>
            </w:tcBorders>
            <w:noWrap/>
            <w:tcMar>
              <w:top w:w="15" w:type="dxa"/>
              <w:left w:w="15" w:type="dxa"/>
              <w:right w:w="15" w:type="dxa"/>
            </w:tcMar>
            <w:vAlign w:val="center"/>
          </w:tcPr>
          <w:p w14:paraId="4769D16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三年</w:t>
            </w:r>
          </w:p>
        </w:tc>
        <w:tc>
          <w:tcPr>
            <w:tcW w:w="1104" w:type="dxa"/>
            <w:tcBorders>
              <w:tl2br w:val="nil"/>
              <w:tr2bl w:val="nil"/>
            </w:tcBorders>
            <w:shd w:val="clear" w:color="auto" w:fill="auto"/>
            <w:noWrap/>
            <w:tcMar>
              <w:top w:w="15" w:type="dxa"/>
              <w:left w:w="15" w:type="dxa"/>
              <w:right w:w="15" w:type="dxa"/>
            </w:tcMar>
            <w:vAlign w:val="center"/>
          </w:tcPr>
          <w:p w14:paraId="7ADA112F">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2"/>
                <w:sz w:val="21"/>
                <w:szCs w:val="21"/>
                <w:highlight w:val="none"/>
                <w:u w:val="none"/>
                <w:lang w:val="en-US" w:eastAsia="zh-CN" w:bidi="ar-SA"/>
              </w:rPr>
            </w:pPr>
            <w:r>
              <w:rPr>
                <w:rFonts w:hint="eastAsia" w:ascii="仿宋" w:hAnsi="仿宋" w:eastAsia="仿宋" w:cs="仿宋"/>
                <w:i w:val="0"/>
                <w:color w:val="auto"/>
                <w:kern w:val="0"/>
                <w:sz w:val="21"/>
                <w:szCs w:val="21"/>
                <w:highlight w:val="none"/>
                <w:u w:val="none"/>
                <w:lang w:val="en-US" w:eastAsia="zh-CN" w:bidi="ar"/>
              </w:rPr>
              <w:t>三年</w:t>
            </w:r>
          </w:p>
        </w:tc>
        <w:tc>
          <w:tcPr>
            <w:tcW w:w="985" w:type="dxa"/>
            <w:tcBorders>
              <w:tl2br w:val="nil"/>
              <w:tr2bl w:val="nil"/>
            </w:tcBorders>
            <w:noWrap/>
            <w:tcMar>
              <w:top w:w="15" w:type="dxa"/>
              <w:left w:w="15" w:type="dxa"/>
              <w:right w:w="15" w:type="dxa"/>
            </w:tcMar>
            <w:vAlign w:val="center"/>
          </w:tcPr>
          <w:p w14:paraId="0B29ACE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kern w:val="0"/>
                <w:sz w:val="21"/>
                <w:szCs w:val="21"/>
                <w:highlight w:val="none"/>
                <w:u w:val="none"/>
                <w:lang w:val="en-US" w:eastAsia="zh-CN" w:bidi="ar"/>
              </w:rPr>
              <w:t>官方原厂</w:t>
            </w:r>
          </w:p>
        </w:tc>
        <w:tc>
          <w:tcPr>
            <w:tcW w:w="1085" w:type="dxa"/>
            <w:tcBorders>
              <w:tl2br w:val="nil"/>
              <w:tr2bl w:val="nil"/>
            </w:tcBorders>
            <w:noWrap/>
            <w:tcMar>
              <w:top w:w="15" w:type="dxa"/>
              <w:left w:w="15" w:type="dxa"/>
              <w:right w:w="15" w:type="dxa"/>
            </w:tcMar>
            <w:vAlign w:val="center"/>
          </w:tcPr>
          <w:p w14:paraId="6C88808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XX元</w:t>
            </w:r>
          </w:p>
        </w:tc>
      </w:tr>
      <w:tr w14:paraId="47649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jc w:val="center"/>
        </w:trPr>
        <w:tc>
          <w:tcPr>
            <w:tcW w:w="7797" w:type="dxa"/>
            <w:gridSpan w:val="6"/>
            <w:tcBorders>
              <w:tl2br w:val="nil"/>
              <w:tr2bl w:val="nil"/>
            </w:tcBorders>
            <w:noWrap/>
            <w:tcMar>
              <w:top w:w="15" w:type="dxa"/>
              <w:left w:w="15" w:type="dxa"/>
              <w:right w:w="15" w:type="dxa"/>
            </w:tcMar>
            <w:vAlign w:val="center"/>
          </w:tcPr>
          <w:p w14:paraId="519B5B8A">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sz w:val="21"/>
                <w:szCs w:val="21"/>
                <w:highlight w:val="none"/>
                <w:u w:val="none"/>
                <w:lang w:val="en-US" w:eastAsia="zh-CN"/>
              </w:rPr>
              <w:t>总报价（小写）：</w:t>
            </w:r>
          </w:p>
        </w:tc>
        <w:tc>
          <w:tcPr>
            <w:tcW w:w="1085" w:type="dxa"/>
            <w:tcBorders>
              <w:tl2br w:val="nil"/>
              <w:tr2bl w:val="nil"/>
            </w:tcBorders>
            <w:noWrap/>
            <w:tcMar>
              <w:top w:w="15" w:type="dxa"/>
              <w:left w:w="15" w:type="dxa"/>
              <w:right w:w="15" w:type="dxa"/>
            </w:tcMar>
            <w:vAlign w:val="center"/>
          </w:tcPr>
          <w:p w14:paraId="5DE26C7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p>
        </w:tc>
      </w:tr>
      <w:tr w14:paraId="2322D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jc w:val="center"/>
        </w:trPr>
        <w:tc>
          <w:tcPr>
            <w:tcW w:w="7797" w:type="dxa"/>
            <w:gridSpan w:val="6"/>
            <w:tcBorders>
              <w:tl2br w:val="nil"/>
              <w:tr2bl w:val="nil"/>
            </w:tcBorders>
            <w:noWrap/>
            <w:tcMar>
              <w:top w:w="15" w:type="dxa"/>
              <w:left w:w="15" w:type="dxa"/>
              <w:right w:w="15" w:type="dxa"/>
            </w:tcMar>
            <w:vAlign w:val="center"/>
          </w:tcPr>
          <w:p w14:paraId="3FAB0D44">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r>
              <w:rPr>
                <w:rFonts w:hint="eastAsia" w:ascii="仿宋" w:hAnsi="仿宋" w:eastAsia="仿宋" w:cs="仿宋"/>
                <w:i w:val="0"/>
                <w:color w:val="auto"/>
                <w:sz w:val="21"/>
                <w:szCs w:val="21"/>
                <w:highlight w:val="none"/>
                <w:u w:val="none"/>
                <w:lang w:val="en-US" w:eastAsia="zh-CN"/>
              </w:rPr>
              <w:t>总报价（大写）：</w:t>
            </w:r>
          </w:p>
        </w:tc>
        <w:tc>
          <w:tcPr>
            <w:tcW w:w="1085" w:type="dxa"/>
            <w:tcBorders>
              <w:tl2br w:val="nil"/>
              <w:tr2bl w:val="nil"/>
            </w:tcBorders>
            <w:noWrap/>
            <w:tcMar>
              <w:top w:w="15" w:type="dxa"/>
              <w:left w:w="15" w:type="dxa"/>
              <w:right w:w="15" w:type="dxa"/>
            </w:tcMar>
            <w:vAlign w:val="center"/>
          </w:tcPr>
          <w:p w14:paraId="0615059C">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p>
        </w:tc>
      </w:tr>
      <w:tr w14:paraId="5D85B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0" w:hRule="atLeast"/>
          <w:jc w:val="center"/>
        </w:trPr>
        <w:tc>
          <w:tcPr>
            <w:tcW w:w="7797" w:type="dxa"/>
            <w:gridSpan w:val="6"/>
            <w:tcBorders>
              <w:tl2br w:val="nil"/>
              <w:tr2bl w:val="nil"/>
            </w:tcBorders>
            <w:noWrap/>
            <w:tcMar>
              <w:top w:w="15" w:type="dxa"/>
              <w:left w:w="15" w:type="dxa"/>
              <w:right w:w="15" w:type="dxa"/>
            </w:tcMar>
            <w:vAlign w:val="center"/>
          </w:tcPr>
          <w:p w14:paraId="002BFF40">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sz w:val="21"/>
                <w:szCs w:val="21"/>
                <w:highlight w:val="none"/>
                <w:u w:val="none"/>
                <w:lang w:val="en-US" w:eastAsia="zh-CN"/>
              </w:rPr>
            </w:pPr>
            <w:r>
              <w:rPr>
                <w:rFonts w:hint="eastAsia" w:ascii="仿宋" w:hAnsi="仿宋" w:eastAsia="仿宋" w:cs="仿宋"/>
                <w:i w:val="0"/>
                <w:color w:val="auto"/>
                <w:kern w:val="0"/>
                <w:sz w:val="21"/>
                <w:szCs w:val="21"/>
                <w:highlight w:val="none"/>
                <w:u w:val="none"/>
                <w:lang w:val="en-US" w:eastAsia="zh-CN" w:bidi="ar"/>
              </w:rPr>
              <w:t>报价及响应文件有效期： XX 日历天。</w:t>
            </w:r>
          </w:p>
        </w:tc>
        <w:tc>
          <w:tcPr>
            <w:tcW w:w="1085" w:type="dxa"/>
            <w:tcBorders>
              <w:tl2br w:val="nil"/>
              <w:tr2bl w:val="nil"/>
            </w:tcBorders>
            <w:noWrap/>
            <w:tcMar>
              <w:top w:w="15" w:type="dxa"/>
              <w:left w:w="15" w:type="dxa"/>
              <w:right w:w="15" w:type="dxa"/>
            </w:tcMar>
            <w:vAlign w:val="center"/>
          </w:tcPr>
          <w:p w14:paraId="13114F41">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 w:hAnsi="仿宋" w:eastAsia="仿宋" w:cs="仿宋"/>
                <w:i w:val="0"/>
                <w:color w:val="auto"/>
                <w:kern w:val="0"/>
                <w:sz w:val="21"/>
                <w:szCs w:val="21"/>
                <w:highlight w:val="none"/>
                <w:u w:val="none"/>
                <w:lang w:val="en-US" w:eastAsia="zh-CN" w:bidi="ar"/>
              </w:rPr>
            </w:pPr>
          </w:p>
        </w:tc>
      </w:tr>
    </w:tbl>
    <w:p w14:paraId="0D46680B">
      <w:pPr>
        <w:keepNext w:val="0"/>
        <w:keepLines w:val="0"/>
        <w:pageBreakBefore w:val="0"/>
        <w:kinsoku/>
        <w:wordWrap/>
        <w:overflowPunct/>
        <w:topLinePunct w:val="0"/>
        <w:autoSpaceDN/>
        <w:bidi w:val="0"/>
        <w:adjustRightInd/>
        <w:snapToGrid/>
        <w:spacing w:before="120" w:after="120" w:line="560" w:lineRule="exact"/>
        <w:ind w:left="0"/>
        <w:jc w:val="left"/>
        <w:rPr>
          <w:rFonts w:hint="eastAsia" w:ascii="Arial" w:hAnsi="Arial" w:eastAsia="等线" w:cs="Arial"/>
          <w:sz w:val="22"/>
          <w:lang w:val="en-US" w:eastAsia="zh-CN"/>
        </w:rPr>
      </w:pPr>
    </w:p>
    <w:p w14:paraId="00187814">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0CEB2A36">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715CC61F">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r>
        <w:rPr>
          <w:rFonts w:hint="eastAsia" w:ascii="Times New Roman" w:hAnsi="Times New Roman" w:eastAsia="仿宋" w:cs="Times New Roman"/>
          <w:b/>
          <w:bCs/>
          <w:color w:val="auto"/>
          <w:spacing w:val="0"/>
          <w:kern w:val="0"/>
          <w:sz w:val="28"/>
          <w:szCs w:val="28"/>
          <w:highlight w:val="none"/>
          <w:lang w:val="en-US" w:eastAsia="zh-CN" w:bidi="ar"/>
        </w:rPr>
        <w:t>附件3：</w:t>
      </w:r>
      <w:bookmarkStart w:id="14" w:name="heading_41"/>
      <w:r>
        <w:rPr>
          <w:rFonts w:hint="eastAsia" w:ascii="Times New Roman" w:hAnsi="Times New Roman" w:eastAsia="仿宋" w:cs="Times New Roman"/>
          <w:b/>
          <w:bCs/>
          <w:color w:val="auto"/>
          <w:spacing w:val="0"/>
          <w:kern w:val="0"/>
          <w:sz w:val="28"/>
          <w:szCs w:val="28"/>
          <w:highlight w:val="none"/>
          <w:lang w:val="en-US" w:eastAsia="zh-CN" w:bidi="ar"/>
        </w:rPr>
        <w:t>授权委托书</w:t>
      </w:r>
      <w:bookmarkEnd w:id="14"/>
      <w:r>
        <w:rPr>
          <w:rFonts w:hint="eastAsia" w:ascii="Times New Roman" w:hAnsi="Times New Roman" w:eastAsia="仿宋" w:cs="Times New Roman"/>
          <w:b/>
          <w:bCs/>
          <w:color w:val="auto"/>
          <w:spacing w:val="0"/>
          <w:kern w:val="0"/>
          <w:sz w:val="28"/>
          <w:szCs w:val="28"/>
          <w:highlight w:val="none"/>
          <w:lang w:val="en-US" w:eastAsia="zh-CN" w:bidi="ar"/>
        </w:rPr>
        <w:t>、法定代表人及授权代表人身份证明</w:t>
      </w:r>
    </w:p>
    <w:p w14:paraId="438D6DE8">
      <w:pPr>
        <w:keepNext w:val="0"/>
        <w:keepLines w:val="0"/>
        <w:pageBreakBefore w:val="0"/>
        <w:kinsoku/>
        <w:wordWrap/>
        <w:overflowPunct/>
        <w:topLinePunct w:val="0"/>
        <w:autoSpaceDN/>
        <w:bidi w:val="0"/>
        <w:adjustRightInd/>
        <w:snapToGrid/>
        <w:spacing w:before="120" w:after="120" w:line="560" w:lineRule="exact"/>
        <w:ind w:left="0"/>
        <w:jc w:val="left"/>
      </w:pPr>
      <w:r>
        <w:rPr>
          <w:rFonts w:ascii="Arial" w:hAnsi="Arial" w:eastAsia="等线" w:cs="Arial"/>
          <w:sz w:val="22"/>
        </w:rPr>
        <w:t>（</w:t>
      </w:r>
      <w:r>
        <w:rPr>
          <w:rFonts w:hint="eastAsia" w:ascii="Arial" w:hAnsi="Arial" w:eastAsia="等线" w:cs="Arial"/>
          <w:sz w:val="22"/>
          <w:lang w:eastAsia="zh-CN"/>
        </w:rPr>
        <w:t>请提供授权委托书，</w:t>
      </w:r>
      <w:r>
        <w:rPr>
          <w:rFonts w:ascii="Arial" w:hAnsi="Arial" w:eastAsia="等线" w:cs="Arial"/>
          <w:sz w:val="22"/>
        </w:rPr>
        <w:t>附</w:t>
      </w:r>
      <w:r>
        <w:rPr>
          <w:rFonts w:hint="eastAsia" w:ascii="Arial" w:hAnsi="Arial" w:eastAsia="等线" w:cs="Arial"/>
          <w:sz w:val="22"/>
          <w:lang w:eastAsia="zh-CN"/>
        </w:rPr>
        <w:t>上</w:t>
      </w:r>
      <w:r>
        <w:rPr>
          <w:rFonts w:ascii="Arial" w:hAnsi="Arial" w:eastAsia="等线" w:cs="Arial"/>
          <w:sz w:val="22"/>
        </w:rPr>
        <w:t>法人身份证、授权</w:t>
      </w:r>
      <w:r>
        <w:rPr>
          <w:rFonts w:hint="eastAsia" w:ascii="Arial" w:hAnsi="Arial" w:eastAsia="等线" w:cs="Arial"/>
          <w:sz w:val="22"/>
          <w:lang w:eastAsia="zh-CN"/>
        </w:rPr>
        <w:t>代表人</w:t>
      </w:r>
      <w:r>
        <w:rPr>
          <w:rFonts w:ascii="Arial" w:hAnsi="Arial" w:eastAsia="等线" w:cs="Arial"/>
          <w:sz w:val="22"/>
        </w:rPr>
        <w:t>身份证复印件，加盖公章）</w:t>
      </w:r>
    </w:p>
    <w:p w14:paraId="4E84F5F2">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1B479986">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default" w:ascii="Times New Roman" w:hAnsi="Times New Roman" w:eastAsia="仿宋" w:cs="Times New Roman"/>
          <w:color w:val="auto"/>
          <w:spacing w:val="0"/>
          <w:kern w:val="0"/>
          <w:sz w:val="28"/>
          <w:szCs w:val="28"/>
          <w:highlight w:val="none"/>
          <w:lang w:val="en-US" w:eastAsia="zh-CN" w:bidi="ar"/>
        </w:rPr>
      </w:pPr>
    </w:p>
    <w:p w14:paraId="04B4394E">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r>
        <w:rPr>
          <w:rFonts w:hint="eastAsia" w:ascii="Times New Roman" w:hAnsi="Times New Roman" w:eastAsia="仿宋" w:cs="Times New Roman"/>
          <w:b/>
          <w:bCs/>
          <w:color w:val="auto"/>
          <w:spacing w:val="0"/>
          <w:kern w:val="0"/>
          <w:sz w:val="28"/>
          <w:szCs w:val="28"/>
          <w:highlight w:val="none"/>
          <w:lang w:val="en-US" w:eastAsia="zh-CN" w:bidi="ar"/>
        </w:rPr>
        <w:t>附件4：承诺函</w:t>
      </w:r>
    </w:p>
    <w:p w14:paraId="1A3FE3FE">
      <w:pPr>
        <w:keepNext w:val="0"/>
        <w:keepLines w:val="0"/>
        <w:pageBreakBefore w:val="0"/>
        <w:kinsoku/>
        <w:wordWrap/>
        <w:overflowPunct/>
        <w:topLinePunct w:val="0"/>
        <w:autoSpaceDN/>
        <w:bidi w:val="0"/>
        <w:adjustRightInd/>
        <w:snapToGrid/>
        <w:spacing w:before="120" w:after="120" w:line="560" w:lineRule="exact"/>
        <w:ind w:left="0"/>
        <w:jc w:val="center"/>
        <w:rPr>
          <w:rFonts w:hint="eastAsia" w:ascii="Arial" w:hAnsi="Arial" w:eastAsia="等线" w:cs="Arial"/>
          <w:b/>
          <w:bCs/>
          <w:sz w:val="32"/>
          <w:szCs w:val="32"/>
          <w:lang w:eastAsia="zh-CN"/>
        </w:rPr>
      </w:pPr>
      <w:r>
        <w:rPr>
          <w:rFonts w:hint="eastAsia" w:ascii="Arial" w:hAnsi="Arial" w:eastAsia="等线" w:cs="Arial"/>
          <w:b/>
          <w:bCs/>
          <w:sz w:val="32"/>
          <w:szCs w:val="32"/>
          <w:lang w:eastAsia="zh-CN"/>
        </w:rPr>
        <w:t>承诺函</w:t>
      </w:r>
    </w:p>
    <w:p w14:paraId="1D98B0C0">
      <w:pPr>
        <w:keepNext w:val="0"/>
        <w:keepLines w:val="0"/>
        <w:pageBreakBefore w:val="0"/>
        <w:kinsoku/>
        <w:wordWrap/>
        <w:overflowPunct/>
        <w:topLinePunct w:val="0"/>
        <w:autoSpaceDN/>
        <w:bidi w:val="0"/>
        <w:adjustRightInd/>
        <w:snapToGrid/>
        <w:spacing w:before="120" w:after="120" w:line="560" w:lineRule="exact"/>
        <w:ind w:left="0"/>
        <w:jc w:val="center"/>
        <w:rPr>
          <w:rFonts w:hint="eastAsia" w:ascii="Arial" w:hAnsi="Arial" w:eastAsia="等线" w:cs="Arial"/>
          <w:b/>
          <w:bCs/>
          <w:sz w:val="32"/>
          <w:szCs w:val="32"/>
          <w:lang w:eastAsia="zh-CN"/>
        </w:rPr>
      </w:pPr>
    </w:p>
    <w:p w14:paraId="48AE56A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right="0"/>
        <w:jc w:val="lef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致：中证中小投资者服务中心有限责任公司</w:t>
      </w:r>
    </w:p>
    <w:p w14:paraId="7E79688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我方已完整研读《云资源服务器操作系统采购项目磋商文件》，充分理解并认可项目资格要求、技术标准、评分规则、合同条款等全部采购要求，自愿参与本次磋商采购。</w:t>
      </w:r>
    </w:p>
    <w:p w14:paraId="2368AC0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我方郑重承诺：所提交全部响应文件真实、合法、有效，无虚假伪造；完全响应采购全部需求，自愿按照最终报价及响应文件要求履约，自愿承担全部履约责任及违约责任。</w:t>
      </w:r>
    </w:p>
    <w:p w14:paraId="37FEEC4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特此响应。</w:t>
      </w:r>
    </w:p>
    <w:p w14:paraId="10E18D3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仿宋" w:hAnsi="仿宋" w:eastAsia="仿宋"/>
          <w:color w:val="000000"/>
          <w:sz w:val="28"/>
          <w:szCs w:val="28"/>
          <w:lang w:val="en-US" w:eastAsia="zh-CN"/>
        </w:rPr>
      </w:pPr>
    </w:p>
    <w:p w14:paraId="22DFAF8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供应商（盖章）：__________</w:t>
      </w:r>
    </w:p>
    <w:p w14:paraId="63D93F8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法定代表人/授权代表（签字）：__________</w:t>
      </w:r>
    </w:p>
    <w:p w14:paraId="67DB26FB">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60" w:lineRule="exact"/>
        <w:ind w:left="0" w:right="0" w:firstLine="560" w:firstLineChars="200"/>
        <w:jc w:val="lef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日期：______年____月____日</w:t>
      </w:r>
    </w:p>
    <w:p w14:paraId="4F685819">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p>
    <w:p w14:paraId="35BFE84F">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p>
    <w:p w14:paraId="1EA09ECC">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p>
    <w:p w14:paraId="4A76391F">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p>
    <w:p w14:paraId="060035E3">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i w:val="0"/>
          <w:iCs w:val="0"/>
          <w:caps w:val="0"/>
          <w:color w:val="auto"/>
          <w:spacing w:val="0"/>
          <w:kern w:val="0"/>
          <w:sz w:val="28"/>
          <w:szCs w:val="28"/>
          <w:highlight w:val="none"/>
          <w:shd w:val="clear"/>
          <w:lang w:val="en-US" w:eastAsia="zh-CN" w:bidi="ar"/>
        </w:rPr>
      </w:pPr>
      <w:r>
        <w:rPr>
          <w:rFonts w:hint="eastAsia" w:ascii="Times New Roman" w:hAnsi="Times New Roman" w:eastAsia="仿宋" w:cs="Times New Roman"/>
          <w:b/>
          <w:bCs/>
          <w:color w:val="auto"/>
          <w:spacing w:val="0"/>
          <w:kern w:val="0"/>
          <w:sz w:val="28"/>
          <w:szCs w:val="28"/>
          <w:highlight w:val="none"/>
          <w:lang w:val="en-US" w:eastAsia="zh-CN" w:bidi="ar"/>
        </w:rPr>
        <w:t>附件5：</w:t>
      </w:r>
      <w:r>
        <w:rPr>
          <w:rFonts w:hint="eastAsia" w:ascii="Times New Roman" w:hAnsi="Times New Roman" w:eastAsia="仿宋" w:cs="Times New Roman"/>
          <w:b/>
          <w:bCs/>
          <w:i w:val="0"/>
          <w:iCs w:val="0"/>
          <w:caps w:val="0"/>
          <w:color w:val="auto"/>
          <w:spacing w:val="0"/>
          <w:kern w:val="0"/>
          <w:sz w:val="28"/>
          <w:szCs w:val="28"/>
          <w:highlight w:val="none"/>
          <w:shd w:val="clear"/>
          <w:lang w:val="en-US" w:eastAsia="zh-CN" w:bidi="ar"/>
        </w:rPr>
        <w:t>《原厂授权书》</w:t>
      </w:r>
    </w:p>
    <w:p w14:paraId="7810CAF8">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i w:val="0"/>
          <w:iCs w:val="0"/>
          <w:caps w:val="0"/>
          <w:color w:val="auto"/>
          <w:spacing w:val="0"/>
          <w:kern w:val="0"/>
          <w:sz w:val="28"/>
          <w:szCs w:val="28"/>
          <w:highlight w:val="none"/>
          <w:shd w:val="clear"/>
          <w:lang w:val="en-US" w:eastAsia="zh-CN" w:bidi="ar"/>
        </w:rPr>
      </w:pPr>
    </w:p>
    <w:p w14:paraId="2A78D880">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i w:val="0"/>
          <w:iCs w:val="0"/>
          <w:caps w:val="0"/>
          <w:color w:val="auto"/>
          <w:spacing w:val="0"/>
          <w:kern w:val="0"/>
          <w:sz w:val="28"/>
          <w:szCs w:val="28"/>
          <w:highlight w:val="none"/>
          <w:shd w:val="clear"/>
          <w:lang w:val="en-US" w:eastAsia="zh-CN" w:bidi="ar"/>
        </w:rPr>
      </w:pPr>
    </w:p>
    <w:p w14:paraId="7062C059">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i w:val="0"/>
          <w:iCs w:val="0"/>
          <w:caps w:val="0"/>
          <w:color w:val="auto"/>
          <w:spacing w:val="0"/>
          <w:kern w:val="0"/>
          <w:sz w:val="28"/>
          <w:szCs w:val="28"/>
          <w:highlight w:val="none"/>
          <w:shd w:val="clear"/>
          <w:lang w:val="en-US" w:eastAsia="zh-CN" w:bidi="ar"/>
        </w:rPr>
      </w:pPr>
      <w:bookmarkStart w:id="15" w:name="_GoBack"/>
      <w:bookmarkEnd w:id="15"/>
    </w:p>
    <w:p w14:paraId="5B681EA3">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jc w:val="left"/>
        <w:rPr>
          <w:rFonts w:hint="eastAsia" w:ascii="Times New Roman" w:hAnsi="Times New Roman" w:eastAsia="仿宋" w:cs="Times New Roman"/>
          <w:b/>
          <w:bCs/>
          <w:color w:val="auto"/>
          <w:spacing w:val="0"/>
          <w:kern w:val="0"/>
          <w:sz w:val="28"/>
          <w:szCs w:val="28"/>
          <w:highlight w:val="none"/>
          <w:lang w:val="en-US" w:eastAsia="zh-CN" w:bidi="ar"/>
        </w:rPr>
      </w:pPr>
      <w:r>
        <w:rPr>
          <w:rFonts w:hint="eastAsia" w:ascii="Times New Roman" w:hAnsi="Times New Roman" w:eastAsia="仿宋" w:cs="Times New Roman"/>
          <w:b/>
          <w:bCs/>
          <w:color w:val="auto"/>
          <w:spacing w:val="0"/>
          <w:kern w:val="0"/>
          <w:sz w:val="28"/>
          <w:szCs w:val="28"/>
          <w:highlight w:val="none"/>
          <w:lang w:val="en-US" w:eastAsia="zh-CN" w:bidi="ar"/>
        </w:rPr>
        <w:t>附件6：</w:t>
      </w:r>
      <w:r>
        <w:rPr>
          <w:rFonts w:hint="eastAsia" w:ascii="Times New Roman" w:hAnsi="Times New Roman" w:eastAsia="仿宋" w:cs="Times New Roman"/>
          <w:b/>
          <w:bCs/>
          <w:i w:val="0"/>
          <w:iCs w:val="0"/>
          <w:caps w:val="0"/>
          <w:color w:val="auto"/>
          <w:spacing w:val="0"/>
          <w:kern w:val="0"/>
          <w:sz w:val="28"/>
          <w:szCs w:val="28"/>
          <w:highlight w:val="none"/>
          <w:shd w:val="clear"/>
          <w:lang w:val="en-US" w:eastAsia="zh-CN" w:bidi="ar"/>
        </w:rPr>
        <w:t>《原厂维保服务承诺书》</w:t>
      </w: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Optimum">
    <w:altName w:val="宋体"/>
    <w:panose1 w:val="00000000000000000000"/>
    <w:charset w:val="86"/>
    <w:family w:val="roman"/>
    <w:pitch w:val="default"/>
    <w:sig w:usb0="00000000" w:usb1="00000000" w:usb2="00000010" w:usb3="00000000" w:csb0="00040000" w:csb1="00000000"/>
  </w:font>
  <w:font w:name="MingLiU">
    <w:panose1 w:val="02020509000000000000"/>
    <w:charset w:val="88"/>
    <w:family w:val="auto"/>
    <w:pitch w:val="default"/>
    <w:sig w:usb0="A00002FF" w:usb1="28CFFCFA" w:usb2="00000016" w:usb3="00000000" w:csb0="00100001"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21AA6">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13D4E">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513D4E">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14:paraId="22A1605E">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E804">
    <w:pPr>
      <w:pStyle w:val="7"/>
    </w:pPr>
    <w:r>
      <w:rPr>
        <w:rFonts w:hint="eastAsia"/>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A23E5">
    <w:pPr>
      <w:pStyle w:val="8"/>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FFBB1F"/>
    <w:multiLevelType w:val="singleLevel"/>
    <w:tmpl w:val="B6FFBB1F"/>
    <w:lvl w:ilvl="0" w:tentative="0">
      <w:start w:val="1"/>
      <w:numFmt w:val="chineseCounting"/>
      <w:suff w:val="nothing"/>
      <w:lvlText w:val="%1、"/>
      <w:lvlJc w:val="left"/>
      <w:pPr>
        <w:ind w:left="0" w:firstLine="420"/>
      </w:pPr>
      <w:rPr>
        <w:rFonts w:hint="eastAsia"/>
      </w:rPr>
    </w:lvl>
  </w:abstractNum>
  <w:abstractNum w:abstractNumId="1">
    <w:nsid w:val="DBB9F74C"/>
    <w:multiLevelType w:val="singleLevel"/>
    <w:tmpl w:val="DBB9F74C"/>
    <w:lvl w:ilvl="0" w:tentative="0">
      <w:start w:val="1"/>
      <w:numFmt w:val="decimal"/>
      <w:suff w:val="nothing"/>
      <w:lvlText w:val="%1．"/>
      <w:lvlJc w:val="left"/>
      <w:pPr>
        <w:ind w:left="420" w:firstLine="400"/>
      </w:pPr>
      <w:rPr>
        <w:rFonts w:hint="default"/>
      </w:rPr>
    </w:lvl>
  </w:abstractNum>
  <w:abstractNum w:abstractNumId="2">
    <w:nsid w:val="FB7EFDF4"/>
    <w:multiLevelType w:val="singleLevel"/>
    <w:tmpl w:val="FB7EFDF4"/>
    <w:lvl w:ilvl="0" w:tentative="0">
      <w:start w:val="1"/>
      <w:numFmt w:val="decimal"/>
      <w:suff w:val="nothing"/>
      <w:lvlText w:val="%1．"/>
      <w:lvlJc w:val="left"/>
      <w:pPr>
        <w:ind w:left="0" w:firstLine="400"/>
      </w:pPr>
      <w:rPr>
        <w:rFonts w:hint="default"/>
      </w:rPr>
    </w:lvl>
  </w:abstractNum>
  <w:abstractNum w:abstractNumId="3">
    <w:nsid w:val="FBFFDC37"/>
    <w:multiLevelType w:val="singleLevel"/>
    <w:tmpl w:val="FBFFDC37"/>
    <w:lvl w:ilvl="0" w:tentative="0">
      <w:start w:val="1"/>
      <w:numFmt w:val="decimal"/>
      <w:suff w:val="nothing"/>
      <w:lvlText w:val="%1．"/>
      <w:lvlJc w:val="left"/>
      <w:pPr>
        <w:ind w:left="0" w:firstLine="400"/>
      </w:pPr>
      <w:rPr>
        <w:rFonts w:hint="default"/>
      </w:rPr>
    </w:lvl>
  </w:abstractNum>
  <w:abstractNum w:abstractNumId="4">
    <w:nsid w:val="FF5BF341"/>
    <w:multiLevelType w:val="singleLevel"/>
    <w:tmpl w:val="FF5BF341"/>
    <w:lvl w:ilvl="0" w:tentative="0">
      <w:start w:val="1"/>
      <w:numFmt w:val="decimal"/>
      <w:suff w:val="nothing"/>
      <w:lvlText w:val="%1．"/>
      <w:lvlJc w:val="left"/>
      <w:pPr>
        <w:ind w:left="0" w:firstLine="400"/>
      </w:pPr>
      <w:rPr>
        <w:rFonts w:hint="default"/>
      </w:rPr>
    </w:lvl>
  </w:abstractNum>
  <w:abstractNum w:abstractNumId="5">
    <w:nsid w:val="19CD74E4"/>
    <w:multiLevelType w:val="multilevel"/>
    <w:tmpl w:val="19CD74E4"/>
    <w:lvl w:ilvl="0" w:tentative="0">
      <w:start w:val="1"/>
      <w:numFmt w:val="chineseCountingThousand"/>
      <w:lvlText w:val="(%1)"/>
      <w:lvlJc w:val="left"/>
      <w:pPr>
        <w:tabs>
          <w:tab w:val="left" w:pos="420"/>
        </w:tabs>
        <w:ind w:left="840" w:hanging="420"/>
      </w:pPr>
    </w:lvl>
    <w:lvl w:ilvl="1" w:tentative="0">
      <w:start w:val="1"/>
      <w:numFmt w:val="lowerLetter"/>
      <w:lvlText w:val="%2)"/>
      <w:lvlJc w:val="left"/>
      <w:pPr>
        <w:tabs>
          <w:tab w:val="left" w:pos="420"/>
        </w:tabs>
        <w:ind w:left="1260" w:hanging="420"/>
      </w:pPr>
    </w:lvl>
    <w:lvl w:ilvl="2" w:tentative="0">
      <w:start w:val="1"/>
      <w:numFmt w:val="lowerRoman"/>
      <w:lvlText w:val="%3."/>
      <w:lvlJc w:val="right"/>
      <w:pPr>
        <w:tabs>
          <w:tab w:val="left" w:pos="420"/>
        </w:tabs>
        <w:ind w:left="1680" w:hanging="420"/>
      </w:pPr>
    </w:lvl>
    <w:lvl w:ilvl="3" w:tentative="0">
      <w:start w:val="1"/>
      <w:numFmt w:val="decimal"/>
      <w:lvlText w:val="%4."/>
      <w:lvlJc w:val="left"/>
      <w:pPr>
        <w:tabs>
          <w:tab w:val="left" w:pos="420"/>
        </w:tabs>
        <w:ind w:left="2100" w:hanging="420"/>
      </w:pPr>
    </w:lvl>
    <w:lvl w:ilvl="4" w:tentative="0">
      <w:start w:val="1"/>
      <w:numFmt w:val="lowerLetter"/>
      <w:lvlText w:val="%5)"/>
      <w:lvlJc w:val="left"/>
      <w:pPr>
        <w:tabs>
          <w:tab w:val="left" w:pos="420"/>
        </w:tabs>
        <w:ind w:left="2520" w:hanging="420"/>
      </w:pPr>
    </w:lvl>
    <w:lvl w:ilvl="5" w:tentative="0">
      <w:start w:val="1"/>
      <w:numFmt w:val="lowerRoman"/>
      <w:lvlText w:val="%6."/>
      <w:lvlJc w:val="right"/>
      <w:pPr>
        <w:tabs>
          <w:tab w:val="left" w:pos="420"/>
        </w:tabs>
        <w:ind w:left="2940" w:hanging="420"/>
      </w:pPr>
    </w:lvl>
    <w:lvl w:ilvl="6" w:tentative="0">
      <w:start w:val="1"/>
      <w:numFmt w:val="decimal"/>
      <w:lvlText w:val="%7."/>
      <w:lvlJc w:val="left"/>
      <w:pPr>
        <w:tabs>
          <w:tab w:val="left" w:pos="420"/>
        </w:tabs>
        <w:ind w:left="3360" w:hanging="420"/>
      </w:pPr>
    </w:lvl>
    <w:lvl w:ilvl="7" w:tentative="0">
      <w:start w:val="1"/>
      <w:numFmt w:val="lowerLetter"/>
      <w:lvlText w:val="%8)"/>
      <w:lvlJc w:val="left"/>
      <w:pPr>
        <w:tabs>
          <w:tab w:val="left" w:pos="420"/>
        </w:tabs>
        <w:ind w:left="3780" w:hanging="420"/>
      </w:pPr>
    </w:lvl>
    <w:lvl w:ilvl="8" w:tentative="0">
      <w:start w:val="1"/>
      <w:numFmt w:val="lowerRoman"/>
      <w:lvlText w:val="%9."/>
      <w:lvlJc w:val="right"/>
      <w:pPr>
        <w:tabs>
          <w:tab w:val="left" w:pos="420"/>
        </w:tabs>
        <w:ind w:left="4200" w:hanging="420"/>
      </w:pPr>
    </w:lvl>
  </w:abstractNum>
  <w:abstractNum w:abstractNumId="6">
    <w:nsid w:val="4AFA1C50"/>
    <w:multiLevelType w:val="multilevel"/>
    <w:tmpl w:val="4AFA1C50"/>
    <w:lvl w:ilvl="0" w:tentative="0">
      <w:start w:val="1"/>
      <w:numFmt w:val="chineseCountingThousand"/>
      <w:lvlText w:val="%1、"/>
      <w:lvlJc w:val="left"/>
      <w:pPr>
        <w:tabs>
          <w:tab w:val="left" w:pos="420"/>
        </w:tabs>
        <w:ind w:left="840" w:hanging="420"/>
      </w:pPr>
    </w:lvl>
    <w:lvl w:ilvl="1" w:tentative="0">
      <w:start w:val="1"/>
      <w:numFmt w:val="lowerLetter"/>
      <w:lvlText w:val="%2)"/>
      <w:lvlJc w:val="left"/>
      <w:pPr>
        <w:tabs>
          <w:tab w:val="left" w:pos="420"/>
        </w:tabs>
        <w:ind w:left="1260" w:hanging="420"/>
      </w:pPr>
    </w:lvl>
    <w:lvl w:ilvl="2" w:tentative="0">
      <w:start w:val="1"/>
      <w:numFmt w:val="lowerRoman"/>
      <w:lvlText w:val="%3."/>
      <w:lvlJc w:val="right"/>
      <w:pPr>
        <w:tabs>
          <w:tab w:val="left" w:pos="420"/>
        </w:tabs>
        <w:ind w:left="1680" w:hanging="420"/>
      </w:pPr>
    </w:lvl>
    <w:lvl w:ilvl="3" w:tentative="0">
      <w:start w:val="1"/>
      <w:numFmt w:val="decimal"/>
      <w:lvlText w:val="%4."/>
      <w:lvlJc w:val="left"/>
      <w:pPr>
        <w:tabs>
          <w:tab w:val="left" w:pos="420"/>
        </w:tabs>
        <w:ind w:left="2100" w:hanging="420"/>
      </w:pPr>
    </w:lvl>
    <w:lvl w:ilvl="4" w:tentative="0">
      <w:start w:val="1"/>
      <w:numFmt w:val="lowerLetter"/>
      <w:lvlText w:val="%5)"/>
      <w:lvlJc w:val="left"/>
      <w:pPr>
        <w:tabs>
          <w:tab w:val="left" w:pos="420"/>
        </w:tabs>
        <w:ind w:left="2520" w:hanging="420"/>
      </w:pPr>
    </w:lvl>
    <w:lvl w:ilvl="5" w:tentative="0">
      <w:start w:val="1"/>
      <w:numFmt w:val="lowerRoman"/>
      <w:lvlText w:val="%6."/>
      <w:lvlJc w:val="right"/>
      <w:pPr>
        <w:tabs>
          <w:tab w:val="left" w:pos="420"/>
        </w:tabs>
        <w:ind w:left="2940" w:hanging="420"/>
      </w:pPr>
    </w:lvl>
    <w:lvl w:ilvl="6" w:tentative="0">
      <w:start w:val="1"/>
      <w:numFmt w:val="decimal"/>
      <w:lvlText w:val="%7."/>
      <w:lvlJc w:val="left"/>
      <w:pPr>
        <w:tabs>
          <w:tab w:val="left" w:pos="420"/>
        </w:tabs>
        <w:ind w:left="3360" w:hanging="420"/>
      </w:pPr>
    </w:lvl>
    <w:lvl w:ilvl="7" w:tentative="0">
      <w:start w:val="1"/>
      <w:numFmt w:val="lowerLetter"/>
      <w:lvlText w:val="%8)"/>
      <w:lvlJc w:val="left"/>
      <w:pPr>
        <w:tabs>
          <w:tab w:val="left" w:pos="420"/>
        </w:tabs>
        <w:ind w:left="3780" w:hanging="420"/>
      </w:pPr>
    </w:lvl>
    <w:lvl w:ilvl="8" w:tentative="0">
      <w:start w:val="1"/>
      <w:numFmt w:val="lowerRoman"/>
      <w:lvlText w:val="%9."/>
      <w:lvlJc w:val="right"/>
      <w:pPr>
        <w:tabs>
          <w:tab w:val="left" w:pos="420"/>
        </w:tabs>
        <w:ind w:left="4200" w:hanging="420"/>
      </w:pPr>
    </w:lvl>
  </w:abstractNum>
  <w:abstractNum w:abstractNumId="7">
    <w:nsid w:val="65CE6123"/>
    <w:multiLevelType w:val="multilevel"/>
    <w:tmpl w:val="65CE6123"/>
    <w:lvl w:ilvl="0" w:tentative="0">
      <w:start w:val="1"/>
      <w:numFmt w:val="chineseCountingThousand"/>
      <w:lvlText w:val="%1、"/>
      <w:lvlJc w:val="left"/>
      <w:pPr>
        <w:tabs>
          <w:tab w:val="left" w:pos="420"/>
        </w:tabs>
        <w:ind w:left="840" w:hanging="420"/>
      </w:pPr>
    </w:lvl>
    <w:lvl w:ilvl="1" w:tentative="0">
      <w:start w:val="1"/>
      <w:numFmt w:val="lowerLetter"/>
      <w:lvlText w:val="%2)"/>
      <w:lvlJc w:val="left"/>
      <w:pPr>
        <w:tabs>
          <w:tab w:val="left" w:pos="420"/>
        </w:tabs>
        <w:ind w:left="1260" w:hanging="420"/>
      </w:pPr>
    </w:lvl>
    <w:lvl w:ilvl="2" w:tentative="0">
      <w:start w:val="1"/>
      <w:numFmt w:val="lowerRoman"/>
      <w:lvlText w:val="%3."/>
      <w:lvlJc w:val="right"/>
      <w:pPr>
        <w:tabs>
          <w:tab w:val="left" w:pos="420"/>
        </w:tabs>
        <w:ind w:left="1680" w:hanging="420"/>
      </w:pPr>
    </w:lvl>
    <w:lvl w:ilvl="3" w:tentative="0">
      <w:start w:val="1"/>
      <w:numFmt w:val="decimal"/>
      <w:lvlText w:val="%4."/>
      <w:lvlJc w:val="left"/>
      <w:pPr>
        <w:tabs>
          <w:tab w:val="left" w:pos="420"/>
        </w:tabs>
        <w:ind w:left="2100" w:hanging="420"/>
      </w:pPr>
    </w:lvl>
    <w:lvl w:ilvl="4" w:tentative="0">
      <w:start w:val="1"/>
      <w:numFmt w:val="lowerLetter"/>
      <w:lvlText w:val="%5)"/>
      <w:lvlJc w:val="left"/>
      <w:pPr>
        <w:tabs>
          <w:tab w:val="left" w:pos="420"/>
        </w:tabs>
        <w:ind w:left="2520" w:hanging="420"/>
      </w:pPr>
    </w:lvl>
    <w:lvl w:ilvl="5" w:tentative="0">
      <w:start w:val="1"/>
      <w:numFmt w:val="lowerRoman"/>
      <w:lvlText w:val="%6."/>
      <w:lvlJc w:val="right"/>
      <w:pPr>
        <w:tabs>
          <w:tab w:val="left" w:pos="420"/>
        </w:tabs>
        <w:ind w:left="2940" w:hanging="420"/>
      </w:pPr>
    </w:lvl>
    <w:lvl w:ilvl="6" w:tentative="0">
      <w:start w:val="1"/>
      <w:numFmt w:val="decimal"/>
      <w:lvlText w:val="%7."/>
      <w:lvlJc w:val="left"/>
      <w:pPr>
        <w:tabs>
          <w:tab w:val="left" w:pos="420"/>
        </w:tabs>
        <w:ind w:left="3360" w:hanging="420"/>
      </w:pPr>
    </w:lvl>
    <w:lvl w:ilvl="7" w:tentative="0">
      <w:start w:val="1"/>
      <w:numFmt w:val="lowerLetter"/>
      <w:lvlText w:val="%8)"/>
      <w:lvlJc w:val="left"/>
      <w:pPr>
        <w:tabs>
          <w:tab w:val="left" w:pos="420"/>
        </w:tabs>
        <w:ind w:left="3780" w:hanging="420"/>
      </w:pPr>
    </w:lvl>
    <w:lvl w:ilvl="8" w:tentative="0">
      <w:start w:val="1"/>
      <w:numFmt w:val="lowerRoman"/>
      <w:lvlText w:val="%9."/>
      <w:lvlJc w:val="right"/>
      <w:pPr>
        <w:tabs>
          <w:tab w:val="left" w:pos="420"/>
        </w:tabs>
        <w:ind w:left="4200" w:hanging="420"/>
      </w:pPr>
    </w:lvl>
  </w:abstractNum>
  <w:abstractNum w:abstractNumId="8">
    <w:nsid w:val="688D2683"/>
    <w:multiLevelType w:val="multilevel"/>
    <w:tmpl w:val="688D2683"/>
    <w:lvl w:ilvl="0" w:tentative="0">
      <w:start w:val="1"/>
      <w:numFmt w:val="japaneseCounting"/>
      <w:lvlText w:val="第%1章"/>
      <w:lvlJc w:val="left"/>
      <w:pPr>
        <w:ind w:left="1050" w:hanging="1050"/>
      </w:pPr>
      <w:rPr>
        <w:rFonts w:hint="eastAsia" w:ascii="黑体" w:hAnsi="黑体" w:eastAsia="黑体" w:cs="黑体"/>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BFDFF7F"/>
    <w:multiLevelType w:val="singleLevel"/>
    <w:tmpl w:val="7BFDFF7F"/>
    <w:lvl w:ilvl="0" w:tentative="0">
      <w:start w:val="1"/>
      <w:numFmt w:val="chineseCounting"/>
      <w:suff w:val="nothing"/>
      <w:lvlText w:val="%1、"/>
      <w:lvlJc w:val="left"/>
      <w:pPr>
        <w:ind w:left="0" w:firstLine="567"/>
      </w:pPr>
      <w:rPr>
        <w:rFonts w:hint="eastAsia"/>
      </w:rPr>
    </w:lvl>
  </w:abstractNum>
  <w:num w:numId="1">
    <w:abstractNumId w:val="8"/>
  </w:num>
  <w:num w:numId="2">
    <w:abstractNumId w:val="9"/>
  </w:num>
  <w:num w:numId="3">
    <w:abstractNumId w:val="4"/>
  </w:num>
  <w:num w:numId="4">
    <w:abstractNumId w:val="3"/>
  </w:num>
  <w:num w:numId="5">
    <w:abstractNumId w:val="0"/>
  </w:num>
  <w:num w:numId="6">
    <w:abstractNumId w:val="7"/>
  </w:num>
  <w:num w:numId="7">
    <w:abstractNumId w:val="2"/>
  </w:num>
  <w:num w:numId="8">
    <w:abstractNumId w:val="6"/>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jgyNzA2NjgwOWZkMTAzZjkzMWRmZjY2ODUwYTEifQ=="/>
  </w:docVars>
  <w:rsids>
    <w:rsidRoot w:val="0070291F"/>
    <w:rsid w:val="00027AB8"/>
    <w:rsid w:val="0004264B"/>
    <w:rsid w:val="0006715A"/>
    <w:rsid w:val="00071427"/>
    <w:rsid w:val="000809C2"/>
    <w:rsid w:val="00081F21"/>
    <w:rsid w:val="00082390"/>
    <w:rsid w:val="00091C30"/>
    <w:rsid w:val="000949CC"/>
    <w:rsid w:val="000B5182"/>
    <w:rsid w:val="000B6637"/>
    <w:rsid w:val="000C6C05"/>
    <w:rsid w:val="001335BD"/>
    <w:rsid w:val="001420B7"/>
    <w:rsid w:val="00142BAC"/>
    <w:rsid w:val="001739A2"/>
    <w:rsid w:val="001C1CAC"/>
    <w:rsid w:val="001E5154"/>
    <w:rsid w:val="001F3D88"/>
    <w:rsid w:val="00217834"/>
    <w:rsid w:val="00240A60"/>
    <w:rsid w:val="0025092D"/>
    <w:rsid w:val="00272D8F"/>
    <w:rsid w:val="002772BE"/>
    <w:rsid w:val="00285C5D"/>
    <w:rsid w:val="00294C99"/>
    <w:rsid w:val="002A094E"/>
    <w:rsid w:val="002A10A0"/>
    <w:rsid w:val="002A5DCB"/>
    <w:rsid w:val="002C131F"/>
    <w:rsid w:val="002C3DCC"/>
    <w:rsid w:val="002D0238"/>
    <w:rsid w:val="00300268"/>
    <w:rsid w:val="00317795"/>
    <w:rsid w:val="00355E4B"/>
    <w:rsid w:val="003563C8"/>
    <w:rsid w:val="00360487"/>
    <w:rsid w:val="00364923"/>
    <w:rsid w:val="00366CA9"/>
    <w:rsid w:val="00372C5C"/>
    <w:rsid w:val="00376FEB"/>
    <w:rsid w:val="003823B0"/>
    <w:rsid w:val="00411F3B"/>
    <w:rsid w:val="00431D14"/>
    <w:rsid w:val="00451304"/>
    <w:rsid w:val="0047244F"/>
    <w:rsid w:val="00480A32"/>
    <w:rsid w:val="00491FEE"/>
    <w:rsid w:val="004F137C"/>
    <w:rsid w:val="00545B71"/>
    <w:rsid w:val="005603BE"/>
    <w:rsid w:val="00561A4F"/>
    <w:rsid w:val="00564C26"/>
    <w:rsid w:val="00566FF4"/>
    <w:rsid w:val="005717D7"/>
    <w:rsid w:val="005908BC"/>
    <w:rsid w:val="005A63F0"/>
    <w:rsid w:val="005C5498"/>
    <w:rsid w:val="005F29A3"/>
    <w:rsid w:val="005F3DA1"/>
    <w:rsid w:val="005F6BAB"/>
    <w:rsid w:val="0060213A"/>
    <w:rsid w:val="00610531"/>
    <w:rsid w:val="00614232"/>
    <w:rsid w:val="006212B2"/>
    <w:rsid w:val="0062131C"/>
    <w:rsid w:val="00654CAB"/>
    <w:rsid w:val="00672C26"/>
    <w:rsid w:val="00677ACE"/>
    <w:rsid w:val="006875E8"/>
    <w:rsid w:val="006A0672"/>
    <w:rsid w:val="006A41EE"/>
    <w:rsid w:val="006D7A75"/>
    <w:rsid w:val="006F36D4"/>
    <w:rsid w:val="0070291F"/>
    <w:rsid w:val="00757995"/>
    <w:rsid w:val="007674C2"/>
    <w:rsid w:val="007928BD"/>
    <w:rsid w:val="007947ED"/>
    <w:rsid w:val="00794AD4"/>
    <w:rsid w:val="0079659C"/>
    <w:rsid w:val="007C160D"/>
    <w:rsid w:val="007C551A"/>
    <w:rsid w:val="007F5116"/>
    <w:rsid w:val="00842273"/>
    <w:rsid w:val="00855C53"/>
    <w:rsid w:val="0085770A"/>
    <w:rsid w:val="008832CA"/>
    <w:rsid w:val="008874CA"/>
    <w:rsid w:val="008A1937"/>
    <w:rsid w:val="008A5903"/>
    <w:rsid w:val="008C4DE6"/>
    <w:rsid w:val="008D3F27"/>
    <w:rsid w:val="008E1CFD"/>
    <w:rsid w:val="009022B4"/>
    <w:rsid w:val="00915312"/>
    <w:rsid w:val="00920AA9"/>
    <w:rsid w:val="009240F4"/>
    <w:rsid w:val="0094251B"/>
    <w:rsid w:val="00945D1F"/>
    <w:rsid w:val="009474B7"/>
    <w:rsid w:val="00961FA0"/>
    <w:rsid w:val="009A6CA7"/>
    <w:rsid w:val="009B39CA"/>
    <w:rsid w:val="009C15BA"/>
    <w:rsid w:val="009C68A5"/>
    <w:rsid w:val="009E59E7"/>
    <w:rsid w:val="009F0417"/>
    <w:rsid w:val="009F67AE"/>
    <w:rsid w:val="00A32715"/>
    <w:rsid w:val="00A34932"/>
    <w:rsid w:val="00A873B0"/>
    <w:rsid w:val="00A90F73"/>
    <w:rsid w:val="00A921DD"/>
    <w:rsid w:val="00A9786C"/>
    <w:rsid w:val="00AB58D2"/>
    <w:rsid w:val="00AC6794"/>
    <w:rsid w:val="00AE2BBF"/>
    <w:rsid w:val="00AF4321"/>
    <w:rsid w:val="00AF7864"/>
    <w:rsid w:val="00B05E6B"/>
    <w:rsid w:val="00B07870"/>
    <w:rsid w:val="00B07B07"/>
    <w:rsid w:val="00B165F5"/>
    <w:rsid w:val="00B41794"/>
    <w:rsid w:val="00B438A2"/>
    <w:rsid w:val="00B47881"/>
    <w:rsid w:val="00B959CF"/>
    <w:rsid w:val="00BC7310"/>
    <w:rsid w:val="00BD019A"/>
    <w:rsid w:val="00BE1962"/>
    <w:rsid w:val="00C007E2"/>
    <w:rsid w:val="00C01F33"/>
    <w:rsid w:val="00C02803"/>
    <w:rsid w:val="00C2758B"/>
    <w:rsid w:val="00C303BF"/>
    <w:rsid w:val="00C600EC"/>
    <w:rsid w:val="00C65F0B"/>
    <w:rsid w:val="00CA2B1E"/>
    <w:rsid w:val="00CA368F"/>
    <w:rsid w:val="00CB3732"/>
    <w:rsid w:val="00CB7C39"/>
    <w:rsid w:val="00CD056C"/>
    <w:rsid w:val="00CF1F90"/>
    <w:rsid w:val="00D020E9"/>
    <w:rsid w:val="00D124C6"/>
    <w:rsid w:val="00D153A8"/>
    <w:rsid w:val="00D22647"/>
    <w:rsid w:val="00D43EA6"/>
    <w:rsid w:val="00D45A74"/>
    <w:rsid w:val="00D7193C"/>
    <w:rsid w:val="00D77F70"/>
    <w:rsid w:val="00D97735"/>
    <w:rsid w:val="00DB19D3"/>
    <w:rsid w:val="00DC7F73"/>
    <w:rsid w:val="00DD0365"/>
    <w:rsid w:val="00DD5B38"/>
    <w:rsid w:val="00DE4A0A"/>
    <w:rsid w:val="00E25D1C"/>
    <w:rsid w:val="00E4452B"/>
    <w:rsid w:val="00E57B60"/>
    <w:rsid w:val="00E66348"/>
    <w:rsid w:val="00E67367"/>
    <w:rsid w:val="00E7482B"/>
    <w:rsid w:val="00E93324"/>
    <w:rsid w:val="00EA0872"/>
    <w:rsid w:val="00EE1406"/>
    <w:rsid w:val="00EF16FF"/>
    <w:rsid w:val="00EF70E7"/>
    <w:rsid w:val="00F254CA"/>
    <w:rsid w:val="00F26367"/>
    <w:rsid w:val="00F96553"/>
    <w:rsid w:val="00FB7622"/>
    <w:rsid w:val="00FF4076"/>
    <w:rsid w:val="028021E2"/>
    <w:rsid w:val="02BC7B5E"/>
    <w:rsid w:val="035E6DD6"/>
    <w:rsid w:val="04C45372"/>
    <w:rsid w:val="06BC6527"/>
    <w:rsid w:val="06E71439"/>
    <w:rsid w:val="09383774"/>
    <w:rsid w:val="0AC967EA"/>
    <w:rsid w:val="0B850375"/>
    <w:rsid w:val="0C8678C1"/>
    <w:rsid w:val="0CBA6291"/>
    <w:rsid w:val="0D6B0915"/>
    <w:rsid w:val="0DD158FD"/>
    <w:rsid w:val="0E9F054C"/>
    <w:rsid w:val="0EE505E5"/>
    <w:rsid w:val="0EF84CB5"/>
    <w:rsid w:val="11836E95"/>
    <w:rsid w:val="147D07CE"/>
    <w:rsid w:val="14AAB188"/>
    <w:rsid w:val="14BB2C7E"/>
    <w:rsid w:val="154C0CC3"/>
    <w:rsid w:val="1677582F"/>
    <w:rsid w:val="17736295"/>
    <w:rsid w:val="19815FCF"/>
    <w:rsid w:val="1BC4458A"/>
    <w:rsid w:val="1C204226"/>
    <w:rsid w:val="1E25719A"/>
    <w:rsid w:val="1FBBA676"/>
    <w:rsid w:val="1FFB9180"/>
    <w:rsid w:val="20452237"/>
    <w:rsid w:val="21FC60F3"/>
    <w:rsid w:val="259D1795"/>
    <w:rsid w:val="2716094D"/>
    <w:rsid w:val="28AD006E"/>
    <w:rsid w:val="2A1A6109"/>
    <w:rsid w:val="2ADB05F6"/>
    <w:rsid w:val="2AE9D6C1"/>
    <w:rsid w:val="2BE3211A"/>
    <w:rsid w:val="2D2417AA"/>
    <w:rsid w:val="2D7176B6"/>
    <w:rsid w:val="2EBF2353"/>
    <w:rsid w:val="2EFF17A7"/>
    <w:rsid w:val="2FBF0555"/>
    <w:rsid w:val="30D53FF2"/>
    <w:rsid w:val="32946EAA"/>
    <w:rsid w:val="335B3495"/>
    <w:rsid w:val="336707A7"/>
    <w:rsid w:val="33913A5E"/>
    <w:rsid w:val="36BF8C70"/>
    <w:rsid w:val="37305FF2"/>
    <w:rsid w:val="38341229"/>
    <w:rsid w:val="3B2F02AB"/>
    <w:rsid w:val="3B6B86F5"/>
    <w:rsid w:val="3DFF52E4"/>
    <w:rsid w:val="3E7E65B9"/>
    <w:rsid w:val="3EA70C2A"/>
    <w:rsid w:val="3EF96773"/>
    <w:rsid w:val="3F7DECCB"/>
    <w:rsid w:val="3FB6E093"/>
    <w:rsid w:val="3FFEE0CC"/>
    <w:rsid w:val="3FFFD952"/>
    <w:rsid w:val="401A1988"/>
    <w:rsid w:val="41941DCE"/>
    <w:rsid w:val="425E0452"/>
    <w:rsid w:val="435A7F52"/>
    <w:rsid w:val="468F0A5F"/>
    <w:rsid w:val="49E57820"/>
    <w:rsid w:val="4A2951D2"/>
    <w:rsid w:val="4A2F3EE7"/>
    <w:rsid w:val="4ADD3B36"/>
    <w:rsid w:val="4AF60EA8"/>
    <w:rsid w:val="4C442CDD"/>
    <w:rsid w:val="4FBC1A62"/>
    <w:rsid w:val="4FFFF808"/>
    <w:rsid w:val="52053061"/>
    <w:rsid w:val="53FF29B7"/>
    <w:rsid w:val="55DA5100"/>
    <w:rsid w:val="56737BFE"/>
    <w:rsid w:val="56BF055C"/>
    <w:rsid w:val="56DD72B6"/>
    <w:rsid w:val="57B3C027"/>
    <w:rsid w:val="57F52770"/>
    <w:rsid w:val="5855643F"/>
    <w:rsid w:val="586562D5"/>
    <w:rsid w:val="59456951"/>
    <w:rsid w:val="5957F982"/>
    <w:rsid w:val="59E6BF43"/>
    <w:rsid w:val="5A56039D"/>
    <w:rsid w:val="5BB7B6A8"/>
    <w:rsid w:val="5BCD28D8"/>
    <w:rsid w:val="5BFD06B0"/>
    <w:rsid w:val="5BFF99C7"/>
    <w:rsid w:val="5D6F866B"/>
    <w:rsid w:val="5D7D666B"/>
    <w:rsid w:val="5EDF2903"/>
    <w:rsid w:val="5EFEA0B5"/>
    <w:rsid w:val="5F3F151A"/>
    <w:rsid w:val="5FB6468D"/>
    <w:rsid w:val="5FBFFACA"/>
    <w:rsid w:val="5FD9BD7C"/>
    <w:rsid w:val="5FDFC8D3"/>
    <w:rsid w:val="5FFF91E1"/>
    <w:rsid w:val="5FFFCC08"/>
    <w:rsid w:val="5FFFDADD"/>
    <w:rsid w:val="604A609D"/>
    <w:rsid w:val="60BB6B7C"/>
    <w:rsid w:val="60D603D4"/>
    <w:rsid w:val="60DF1AAA"/>
    <w:rsid w:val="61462656"/>
    <w:rsid w:val="63E68EF6"/>
    <w:rsid w:val="63FF5D76"/>
    <w:rsid w:val="662BECEC"/>
    <w:rsid w:val="67F805CC"/>
    <w:rsid w:val="68D5229E"/>
    <w:rsid w:val="69DB8A97"/>
    <w:rsid w:val="69FFCCBF"/>
    <w:rsid w:val="6BDF8E72"/>
    <w:rsid w:val="6D8243CD"/>
    <w:rsid w:val="6DFF4622"/>
    <w:rsid w:val="6DFF75B8"/>
    <w:rsid w:val="6E7AEB82"/>
    <w:rsid w:val="6F7BEF98"/>
    <w:rsid w:val="6FBFDEE7"/>
    <w:rsid w:val="6FFBBC23"/>
    <w:rsid w:val="718C74F3"/>
    <w:rsid w:val="73EF9A39"/>
    <w:rsid w:val="740D6187"/>
    <w:rsid w:val="76592D83"/>
    <w:rsid w:val="76EE0270"/>
    <w:rsid w:val="779FB683"/>
    <w:rsid w:val="77BF5522"/>
    <w:rsid w:val="77BFBD0C"/>
    <w:rsid w:val="77D7D6D9"/>
    <w:rsid w:val="77E7D506"/>
    <w:rsid w:val="77FF3787"/>
    <w:rsid w:val="78FF2855"/>
    <w:rsid w:val="79291DE4"/>
    <w:rsid w:val="793F3B2A"/>
    <w:rsid w:val="79CB6EB2"/>
    <w:rsid w:val="7A0E96E4"/>
    <w:rsid w:val="7A31FC1E"/>
    <w:rsid w:val="7A53895B"/>
    <w:rsid w:val="7B7F4C15"/>
    <w:rsid w:val="7BB3215F"/>
    <w:rsid w:val="7BB79ECB"/>
    <w:rsid w:val="7BDBEBFD"/>
    <w:rsid w:val="7BDF82DF"/>
    <w:rsid w:val="7BEF0FF7"/>
    <w:rsid w:val="7BF145B3"/>
    <w:rsid w:val="7C6BEE29"/>
    <w:rsid w:val="7CFED7C8"/>
    <w:rsid w:val="7D4E3FD6"/>
    <w:rsid w:val="7D7FB1F0"/>
    <w:rsid w:val="7DAC3C15"/>
    <w:rsid w:val="7DBB6602"/>
    <w:rsid w:val="7DBEB841"/>
    <w:rsid w:val="7DD915AB"/>
    <w:rsid w:val="7DDFA7BA"/>
    <w:rsid w:val="7DF43760"/>
    <w:rsid w:val="7E09B616"/>
    <w:rsid w:val="7E5B3754"/>
    <w:rsid w:val="7E61E46A"/>
    <w:rsid w:val="7ED54CDD"/>
    <w:rsid w:val="7EF71E30"/>
    <w:rsid w:val="7EFC749D"/>
    <w:rsid w:val="7F0FAA39"/>
    <w:rsid w:val="7F1F844D"/>
    <w:rsid w:val="7F335DF3"/>
    <w:rsid w:val="7F3F9FD8"/>
    <w:rsid w:val="7F5FAF83"/>
    <w:rsid w:val="7F7BAA73"/>
    <w:rsid w:val="7F7DF6C0"/>
    <w:rsid w:val="7FAFE36F"/>
    <w:rsid w:val="7FBA06CC"/>
    <w:rsid w:val="7FBB42A5"/>
    <w:rsid w:val="7FBD0168"/>
    <w:rsid w:val="7FBDC1EB"/>
    <w:rsid w:val="7FD70FCD"/>
    <w:rsid w:val="7FDDBA1F"/>
    <w:rsid w:val="7FE9765D"/>
    <w:rsid w:val="7FF18CA8"/>
    <w:rsid w:val="7FFBBE3B"/>
    <w:rsid w:val="7FFD6CFF"/>
    <w:rsid w:val="7FFEE30C"/>
    <w:rsid w:val="7FFFFA1F"/>
    <w:rsid w:val="8FE970C9"/>
    <w:rsid w:val="9B9AD829"/>
    <w:rsid w:val="9BFE8C52"/>
    <w:rsid w:val="9D77D014"/>
    <w:rsid w:val="9DF91685"/>
    <w:rsid w:val="9E1C8537"/>
    <w:rsid w:val="9E9F6E76"/>
    <w:rsid w:val="9FF9F269"/>
    <w:rsid w:val="A3DFDD8C"/>
    <w:rsid w:val="AAF7AE7B"/>
    <w:rsid w:val="AFFFE1D3"/>
    <w:rsid w:val="B3F7317C"/>
    <w:rsid w:val="B6711B77"/>
    <w:rsid w:val="B6F73F03"/>
    <w:rsid w:val="B6FFC10A"/>
    <w:rsid w:val="B7BB0A22"/>
    <w:rsid w:val="B9BBE52E"/>
    <w:rsid w:val="BB1F02D0"/>
    <w:rsid w:val="BBFF95B4"/>
    <w:rsid w:val="BDBA2120"/>
    <w:rsid w:val="BDBF043B"/>
    <w:rsid w:val="BDDC2EA0"/>
    <w:rsid w:val="BF57D96E"/>
    <w:rsid w:val="BF634D33"/>
    <w:rsid w:val="BF7B599E"/>
    <w:rsid w:val="BF85DC80"/>
    <w:rsid w:val="BFDBABE8"/>
    <w:rsid w:val="BFDF2FDC"/>
    <w:rsid w:val="BFE7D64A"/>
    <w:rsid w:val="BFFF4943"/>
    <w:rsid w:val="C6FF57BC"/>
    <w:rsid w:val="CBF9A8EE"/>
    <w:rsid w:val="CF9F8EAB"/>
    <w:rsid w:val="CFDFE9A9"/>
    <w:rsid w:val="CFF85FEA"/>
    <w:rsid w:val="CFFB5081"/>
    <w:rsid w:val="D05BD3FE"/>
    <w:rsid w:val="D4EFAB39"/>
    <w:rsid w:val="D627FAA5"/>
    <w:rsid w:val="D7B7479C"/>
    <w:rsid w:val="D9BD5431"/>
    <w:rsid w:val="D9D6CF26"/>
    <w:rsid w:val="DBEDC3FD"/>
    <w:rsid w:val="DFBB71B7"/>
    <w:rsid w:val="DFEFE3D8"/>
    <w:rsid w:val="DFFC9395"/>
    <w:rsid w:val="DFFF1AF3"/>
    <w:rsid w:val="DFFFADBF"/>
    <w:rsid w:val="E6654253"/>
    <w:rsid w:val="E6D412FC"/>
    <w:rsid w:val="E77FB055"/>
    <w:rsid w:val="E7BF1666"/>
    <w:rsid w:val="E7F7ED14"/>
    <w:rsid w:val="EB7F00C7"/>
    <w:rsid w:val="EBDFD347"/>
    <w:rsid w:val="EBF17E28"/>
    <w:rsid w:val="EBFF84BB"/>
    <w:rsid w:val="EC5EED81"/>
    <w:rsid w:val="ECEE868E"/>
    <w:rsid w:val="EDE72C9C"/>
    <w:rsid w:val="EE97B782"/>
    <w:rsid w:val="EFF49D77"/>
    <w:rsid w:val="EFFF2C5E"/>
    <w:rsid w:val="F26FB06B"/>
    <w:rsid w:val="F4EAF506"/>
    <w:rsid w:val="F5EE6A28"/>
    <w:rsid w:val="F6EF27D9"/>
    <w:rsid w:val="F772B1DE"/>
    <w:rsid w:val="F7F7EF28"/>
    <w:rsid w:val="F7FF0EEF"/>
    <w:rsid w:val="F7FF2D26"/>
    <w:rsid w:val="F86D4885"/>
    <w:rsid w:val="FAB6E2E3"/>
    <w:rsid w:val="FABEBE1B"/>
    <w:rsid w:val="FAF733C7"/>
    <w:rsid w:val="FAF914E2"/>
    <w:rsid w:val="FB378711"/>
    <w:rsid w:val="FB3F0C35"/>
    <w:rsid w:val="FB6F8FA0"/>
    <w:rsid w:val="FBBF70C4"/>
    <w:rsid w:val="FBCF678E"/>
    <w:rsid w:val="FBF7C5E6"/>
    <w:rsid w:val="FBFFE536"/>
    <w:rsid w:val="FCFE7B9C"/>
    <w:rsid w:val="FCFEF576"/>
    <w:rsid w:val="FDB60064"/>
    <w:rsid w:val="FDFC9CC1"/>
    <w:rsid w:val="FE970CA2"/>
    <w:rsid w:val="FEBBD34B"/>
    <w:rsid w:val="FEDCCE97"/>
    <w:rsid w:val="FEDF237B"/>
    <w:rsid w:val="FEDF3A5F"/>
    <w:rsid w:val="FF3DB646"/>
    <w:rsid w:val="FF570C3E"/>
    <w:rsid w:val="FF5CF8D2"/>
    <w:rsid w:val="FF7ECD24"/>
    <w:rsid w:val="FF8D4990"/>
    <w:rsid w:val="FFCDB13C"/>
    <w:rsid w:val="FFE74A08"/>
    <w:rsid w:val="FFF3F125"/>
    <w:rsid w:val="FFF79CE7"/>
    <w:rsid w:val="FFF7A33D"/>
    <w:rsid w:val="FFFD9150"/>
    <w:rsid w:val="FFFDBC4D"/>
    <w:rsid w:val="FFFF9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kern w:val="0"/>
      <w:sz w:val="20"/>
      <w:szCs w:val="20"/>
    </w:rPr>
  </w:style>
  <w:style w:type="paragraph" w:styleId="4">
    <w:name w:val="annotation text"/>
    <w:basedOn w:val="1"/>
    <w:link w:val="21"/>
    <w:semiHidden/>
    <w:unhideWhenUsed/>
    <w:qFormat/>
    <w:uiPriority w:val="99"/>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Balloon Text"/>
    <w:basedOn w:val="1"/>
    <w:link w:val="22"/>
    <w:semiHidden/>
    <w:unhideWhenUsed/>
    <w:qFormat/>
    <w:uiPriority w:val="99"/>
    <w:rPr>
      <w:sz w:val="18"/>
      <w:szCs w:val="18"/>
    </w:rPr>
  </w:style>
  <w:style w:type="paragraph" w:styleId="7">
    <w:name w:val="footer"/>
    <w:basedOn w:val="1"/>
    <w:link w:val="26"/>
    <w:unhideWhenUsed/>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left"/>
    </w:pPr>
    <w:rPr>
      <w:sz w:val="18"/>
      <w:szCs w:val="18"/>
    </w:rPr>
  </w:style>
  <w:style w:type="paragraph" w:styleId="9">
    <w:name w:val="toc 1"/>
    <w:basedOn w:val="1"/>
    <w:next w:val="1"/>
    <w:unhideWhenUsed/>
    <w:qFormat/>
    <w:uiPriority w:val="39"/>
    <w:pPr>
      <w:tabs>
        <w:tab w:val="left" w:pos="1050"/>
        <w:tab w:val="right" w:leader="dot" w:pos="8296"/>
      </w:tabs>
      <w:jc w:val="center"/>
    </w:pPr>
    <w:rPr>
      <w:rFonts w:ascii="仿宋_GB2312" w:hAnsi="黑体" w:eastAsia="仿宋_GB2312"/>
      <w:b/>
      <w:sz w:val="44"/>
      <w:szCs w:val="44"/>
    </w:rPr>
  </w:style>
  <w:style w:type="paragraph" w:styleId="10">
    <w:name w:val="toc 2"/>
    <w:basedOn w:val="1"/>
    <w:next w:val="1"/>
    <w:unhideWhenUsed/>
    <w:qFormat/>
    <w:uiPriority w:val="39"/>
    <w:pPr>
      <w:ind w:left="420" w:leftChars="200"/>
    </w:p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annotation subject"/>
    <w:basedOn w:val="4"/>
    <w:next w:val="4"/>
    <w:link w:val="27"/>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rPr>
  </w:style>
  <w:style w:type="character" w:styleId="17">
    <w:name w:val="FollowedHyperlink"/>
    <w:basedOn w:val="15"/>
    <w:semiHidden/>
    <w:unhideWhenUsed/>
    <w:qFormat/>
    <w:uiPriority w:val="99"/>
    <w:rPr>
      <w:color w:val="333333"/>
      <w:u w:val="none"/>
    </w:rPr>
  </w:style>
  <w:style w:type="character" w:styleId="18">
    <w:name w:val="Hyperlink"/>
    <w:basedOn w:val="15"/>
    <w:unhideWhenUsed/>
    <w:qFormat/>
    <w:uiPriority w:val="99"/>
    <w:rPr>
      <w:color w:val="0000FF" w:themeColor="hyperlink"/>
      <w:u w:val="single"/>
      <w14:textFill>
        <w14:solidFill>
          <w14:schemeClr w14:val="hlink"/>
        </w14:solidFill>
      </w14:textFill>
    </w:rPr>
  </w:style>
  <w:style w:type="character" w:styleId="19">
    <w:name w:val="annotation reference"/>
    <w:basedOn w:val="15"/>
    <w:semiHidden/>
    <w:unhideWhenUsed/>
    <w:qFormat/>
    <w:uiPriority w:val="99"/>
    <w:rPr>
      <w:sz w:val="21"/>
      <w:szCs w:val="21"/>
    </w:rPr>
  </w:style>
  <w:style w:type="paragraph" w:styleId="20">
    <w:name w:val="List Paragraph"/>
    <w:basedOn w:val="1"/>
    <w:qFormat/>
    <w:uiPriority w:val="34"/>
    <w:pPr>
      <w:ind w:firstLine="420" w:firstLineChars="200"/>
    </w:pPr>
  </w:style>
  <w:style w:type="character" w:customStyle="1" w:styleId="21">
    <w:name w:val="批注文字 字符"/>
    <w:basedOn w:val="15"/>
    <w:link w:val="4"/>
    <w:semiHidden/>
    <w:qFormat/>
    <w:uiPriority w:val="99"/>
  </w:style>
  <w:style w:type="character" w:customStyle="1" w:styleId="22">
    <w:name w:val="批注框文本 字符"/>
    <w:basedOn w:val="15"/>
    <w:link w:val="6"/>
    <w:semiHidden/>
    <w:qFormat/>
    <w:uiPriority w:val="99"/>
    <w:rPr>
      <w:sz w:val="18"/>
      <w:szCs w:val="18"/>
    </w:rPr>
  </w:style>
  <w:style w:type="character" w:customStyle="1" w:styleId="23">
    <w:name w:val="标题 1 字符"/>
    <w:basedOn w:val="15"/>
    <w:link w:val="2"/>
    <w:qFormat/>
    <w:uiPriority w:val="9"/>
    <w:rPr>
      <w:b/>
      <w:bCs/>
      <w:kern w:val="44"/>
      <w:sz w:val="44"/>
      <w:szCs w:val="44"/>
    </w:rPr>
  </w:style>
  <w:style w:type="paragraph" w:customStyle="1" w:styleId="24">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5">
    <w:name w:val="页眉 字符"/>
    <w:basedOn w:val="15"/>
    <w:link w:val="8"/>
    <w:qFormat/>
    <w:uiPriority w:val="99"/>
    <w:rPr>
      <w:sz w:val="18"/>
      <w:szCs w:val="18"/>
    </w:rPr>
  </w:style>
  <w:style w:type="character" w:customStyle="1" w:styleId="26">
    <w:name w:val="页脚 字符"/>
    <w:basedOn w:val="15"/>
    <w:link w:val="7"/>
    <w:qFormat/>
    <w:uiPriority w:val="99"/>
    <w:rPr>
      <w:sz w:val="18"/>
      <w:szCs w:val="18"/>
    </w:rPr>
  </w:style>
  <w:style w:type="character" w:customStyle="1" w:styleId="27">
    <w:name w:val="批注主题 字符"/>
    <w:basedOn w:val="21"/>
    <w:link w:val="12"/>
    <w:semiHidden/>
    <w:qFormat/>
    <w:uiPriority w:val="99"/>
    <w:rPr>
      <w:b/>
      <w:bCs/>
    </w:rPr>
  </w:style>
  <w:style w:type="character" w:styleId="28">
    <w:name w:val="Placeholder Text"/>
    <w:basedOn w:val="15"/>
    <w:semiHidden/>
    <w:qFormat/>
    <w:uiPriority w:val="99"/>
    <w:rPr>
      <w:color w:val="808080"/>
    </w:rPr>
  </w:style>
  <w:style w:type="paragraph" w:customStyle="1" w:styleId="29">
    <w:name w:val="Default"/>
    <w:qFormat/>
    <w:uiPriority w:val="0"/>
    <w:pPr>
      <w:widowControl w:val="0"/>
      <w:autoSpaceDE w:val="0"/>
      <w:autoSpaceDN w:val="0"/>
      <w:adjustRightInd w:val="0"/>
    </w:pPr>
    <w:rPr>
      <w:rFonts w:ascii="Optimum" w:hAnsi="Times New Roman" w:eastAsia="Optimum" w:cs="Times New Roman"/>
      <w:color w:val="000000"/>
      <w:kern w:val="0"/>
      <w:sz w:val="24"/>
      <w:szCs w:val="24"/>
      <w:lang w:val="en-US" w:eastAsia="zh-CN" w:bidi="ar-SA"/>
    </w:rPr>
  </w:style>
  <w:style w:type="paragraph" w:customStyle="1" w:styleId="30">
    <w:name w:val="列出段落1"/>
    <w:basedOn w:val="1"/>
    <w:qFormat/>
    <w:uiPriority w:val="34"/>
    <w:pPr>
      <w:ind w:firstLine="420" w:firstLineChars="200"/>
    </w:pPr>
  </w:style>
  <w:style w:type="character" w:customStyle="1" w:styleId="31">
    <w:name w:val="font11"/>
    <w:basedOn w:val="15"/>
    <w:qFormat/>
    <w:uiPriority w:val="0"/>
    <w:rPr>
      <w:rFonts w:hint="eastAsia" w:ascii="宋体" w:hAnsi="宋体" w:eastAsia="宋体" w:cs="宋体"/>
      <w:color w:val="000000"/>
      <w:sz w:val="18"/>
      <w:szCs w:val="18"/>
      <w:u w:val="none"/>
    </w:rPr>
  </w:style>
  <w:style w:type="paragraph" w:customStyle="1" w:styleId="32">
    <w:name w:val="Other|1"/>
    <w:basedOn w:val="1"/>
    <w:link w:val="33"/>
    <w:qFormat/>
    <w:uiPriority w:val="0"/>
    <w:pPr>
      <w:widowControl w:val="0"/>
      <w:shd w:val="clear" w:color="auto" w:fill="auto"/>
      <w:spacing w:line="292" w:lineRule="exact"/>
    </w:pPr>
    <w:rPr>
      <w:rFonts w:ascii="MingLiU" w:hAnsi="MingLiU" w:eastAsia="MingLiU" w:cs="MingLiU"/>
      <w:sz w:val="22"/>
      <w:szCs w:val="22"/>
      <w:u w:val="none"/>
      <w:lang w:val="ko-KR" w:eastAsia="ko-KR" w:bidi="ko-KR"/>
    </w:rPr>
  </w:style>
  <w:style w:type="character" w:customStyle="1" w:styleId="33">
    <w:name w:val="Other|1_"/>
    <w:basedOn w:val="15"/>
    <w:link w:val="32"/>
    <w:qFormat/>
    <w:uiPriority w:val="0"/>
    <w:rPr>
      <w:rFonts w:ascii="MingLiU" w:hAnsi="MingLiU" w:eastAsia="MingLiU" w:cs="MingLiU"/>
      <w:sz w:val="22"/>
      <w:szCs w:val="22"/>
      <w:u w:val="none"/>
      <w:lang w:val="ko-KR" w:eastAsia="ko-KR" w:bidi="ko-K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20</Pages>
  <Words>11020</Words>
  <Characters>11391</Characters>
  <Lines>18</Lines>
  <Paragraphs>5</Paragraphs>
  <TotalTime>3</TotalTime>
  <ScaleCrop>false</ScaleCrop>
  <LinksUpToDate>false</LinksUpToDate>
  <CharactersWithSpaces>11583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2019-12-03T18:19:00Z</dcterms:created>
  <dc:creator>csindex_yuanchen</dc:creator>
  <cp:lastModifiedBy>jzhu</cp:lastModifiedBy>
  <cp:lastPrinted>2025-11-09T18:09:00Z</cp:lastPrinted>
  <dcterms:modified xsi:type="dcterms:W3CDTF">2026-09-09T13:53:51Z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D2E953705F264CA3A180159B3B655503</vt:lpwstr>
  </property>
</Properties>
</file>