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575FC">
      <w:pPr>
        <w:jc w:val="center"/>
        <w:rPr>
          <w:rFonts w:ascii="黑体" w:hAnsi="黑体" w:eastAsia="黑体"/>
          <w:sz w:val="36"/>
          <w:szCs w:val="36"/>
          <w:highlight w:val="none"/>
        </w:rPr>
      </w:pPr>
    </w:p>
    <w:p w14:paraId="4C6A6C87">
      <w:pPr>
        <w:jc w:val="center"/>
        <w:rPr>
          <w:rFonts w:ascii="黑体" w:hAnsi="黑体" w:eastAsia="黑体"/>
          <w:sz w:val="36"/>
          <w:szCs w:val="36"/>
          <w:highlight w:val="none"/>
        </w:rPr>
      </w:pPr>
    </w:p>
    <w:p w14:paraId="7E3F4D30">
      <w:pPr>
        <w:jc w:val="center"/>
        <w:rPr>
          <w:rFonts w:hint="eastAsia" w:ascii="黑体" w:hAnsi="黑体" w:eastAsia="黑体"/>
          <w:b/>
          <w:sz w:val="36"/>
          <w:szCs w:val="36"/>
          <w:highlight w:val="none"/>
          <w:lang w:val="en-US" w:eastAsia="zh-CN"/>
        </w:rPr>
      </w:pPr>
      <w:r>
        <w:rPr>
          <w:rFonts w:hint="eastAsia" w:ascii="黑体" w:hAnsi="黑体" w:eastAsia="黑体"/>
          <w:b/>
          <w:sz w:val="36"/>
          <w:szCs w:val="36"/>
          <w:highlight w:val="none"/>
          <w:lang w:val="en-US" w:eastAsia="zh-CN"/>
        </w:rPr>
        <w:t>中证中小投资者服务中心</w:t>
      </w:r>
    </w:p>
    <w:p w14:paraId="42E60866">
      <w:pPr>
        <w:jc w:val="center"/>
        <w:rPr>
          <w:rFonts w:hint="eastAsia" w:ascii="黑体" w:hAnsi="黑体" w:eastAsia="黑体"/>
          <w:b/>
          <w:sz w:val="36"/>
          <w:szCs w:val="36"/>
          <w:highlight w:val="none"/>
          <w:lang w:val="en-US" w:eastAsia="zh-CN"/>
        </w:rPr>
      </w:pPr>
      <w:r>
        <w:rPr>
          <w:rFonts w:hint="eastAsia" w:ascii="黑体" w:hAnsi="黑体" w:eastAsia="黑体"/>
          <w:b/>
          <w:sz w:val="36"/>
          <w:szCs w:val="36"/>
          <w:highlight w:val="none"/>
          <w:lang w:val="en-US" w:eastAsia="zh-CN"/>
        </w:rPr>
        <w:t>2026-2028年</w:t>
      </w:r>
      <w:r>
        <w:rPr>
          <w:rFonts w:hint="eastAsia" w:ascii="黑体" w:hAnsi="黑体" w:eastAsia="黑体"/>
          <w:b/>
          <w:sz w:val="36"/>
          <w:szCs w:val="36"/>
          <w:highlight w:val="none"/>
          <w:lang w:eastAsia="zh-CN"/>
        </w:rPr>
        <w:t>公车驾驶员租赁服务</w:t>
      </w:r>
      <w:r>
        <w:rPr>
          <w:rFonts w:hint="eastAsia" w:ascii="黑体" w:hAnsi="黑体" w:eastAsia="黑体"/>
          <w:b/>
          <w:sz w:val="36"/>
          <w:szCs w:val="36"/>
          <w:highlight w:val="none"/>
          <w:lang w:val="en-US" w:eastAsia="zh-CN"/>
        </w:rPr>
        <w:t>项目</w:t>
      </w:r>
    </w:p>
    <w:p w14:paraId="587ED977">
      <w:pPr>
        <w:jc w:val="center"/>
        <w:rPr>
          <w:rFonts w:ascii="黑体" w:hAnsi="黑体" w:eastAsia="黑体"/>
          <w:b/>
          <w:sz w:val="36"/>
          <w:szCs w:val="36"/>
          <w:highlight w:val="none"/>
        </w:rPr>
      </w:pPr>
      <w:r>
        <w:rPr>
          <w:rFonts w:hint="eastAsia" w:ascii="黑体" w:hAnsi="黑体" w:eastAsia="黑体"/>
          <w:b/>
          <w:sz w:val="36"/>
          <w:szCs w:val="36"/>
          <w:highlight w:val="none"/>
        </w:rPr>
        <w:t>竞争性磋商文件</w:t>
      </w:r>
    </w:p>
    <w:p w14:paraId="548627D6">
      <w:pPr>
        <w:rPr>
          <w:rFonts w:ascii="黑体" w:hAnsi="黑体" w:eastAsia="黑体"/>
          <w:sz w:val="36"/>
          <w:szCs w:val="36"/>
          <w:highlight w:val="none"/>
        </w:rPr>
      </w:pPr>
    </w:p>
    <w:p w14:paraId="1616A443">
      <w:pPr>
        <w:jc w:val="center"/>
        <w:rPr>
          <w:rFonts w:hint="eastAsia" w:ascii="黑体" w:hAnsi="黑体" w:eastAsia="黑体"/>
          <w:sz w:val="36"/>
          <w:szCs w:val="36"/>
          <w:highlight w:val="none"/>
          <w:lang w:val="en-US" w:eastAsia="zh-CN"/>
        </w:rPr>
      </w:pPr>
    </w:p>
    <w:p w14:paraId="59EC8722">
      <w:pPr>
        <w:jc w:val="center"/>
        <w:rPr>
          <w:rFonts w:hint="eastAsia" w:ascii="黑体" w:hAnsi="黑体" w:eastAsia="黑体"/>
          <w:sz w:val="36"/>
          <w:szCs w:val="36"/>
          <w:highlight w:val="none"/>
          <w:lang w:val="en-US" w:eastAsia="zh-CN"/>
        </w:rPr>
      </w:pPr>
    </w:p>
    <w:p w14:paraId="24412690">
      <w:pPr>
        <w:jc w:val="both"/>
        <w:rPr>
          <w:rFonts w:hint="eastAsia" w:ascii="黑体" w:hAnsi="黑体" w:eastAsia="黑体"/>
          <w:sz w:val="36"/>
          <w:szCs w:val="36"/>
          <w:highlight w:val="none"/>
          <w:lang w:val="en-US" w:eastAsia="zh-CN"/>
        </w:rPr>
      </w:pPr>
    </w:p>
    <w:p w14:paraId="63569206">
      <w:pPr>
        <w:jc w:val="center"/>
        <w:rPr>
          <w:rFonts w:ascii="黑体" w:hAnsi="黑体" w:eastAsia="黑体"/>
          <w:sz w:val="36"/>
          <w:szCs w:val="36"/>
          <w:highlight w:val="none"/>
        </w:rPr>
      </w:pPr>
    </w:p>
    <w:p w14:paraId="2ACB61DE">
      <w:pPr>
        <w:jc w:val="center"/>
        <w:rPr>
          <w:rFonts w:ascii="黑体" w:hAnsi="黑体" w:eastAsia="黑体"/>
          <w:sz w:val="36"/>
          <w:szCs w:val="36"/>
          <w:highlight w:val="none"/>
        </w:rPr>
      </w:pPr>
    </w:p>
    <w:p w14:paraId="2B46DF16">
      <w:pPr>
        <w:jc w:val="center"/>
        <w:rPr>
          <w:rFonts w:ascii="黑体" w:hAnsi="黑体" w:eastAsia="黑体"/>
          <w:sz w:val="28"/>
          <w:szCs w:val="28"/>
          <w:highlight w:val="none"/>
        </w:rPr>
      </w:pPr>
    </w:p>
    <w:p w14:paraId="5A168557">
      <w:pPr>
        <w:jc w:val="left"/>
        <w:rPr>
          <w:rFonts w:ascii="仿宋_GB2312" w:hAnsi="黑体" w:eastAsia="仿宋_GB2312"/>
          <w:sz w:val="28"/>
          <w:szCs w:val="28"/>
          <w:highlight w:val="none"/>
        </w:rPr>
      </w:pPr>
    </w:p>
    <w:p w14:paraId="7FD28B51">
      <w:pPr>
        <w:jc w:val="left"/>
        <w:rPr>
          <w:rFonts w:ascii="仿宋_GB2312" w:hAnsi="黑体" w:eastAsia="仿宋_GB2312"/>
          <w:sz w:val="28"/>
          <w:szCs w:val="28"/>
          <w:highlight w:val="none"/>
        </w:rPr>
      </w:pPr>
    </w:p>
    <w:p w14:paraId="7EEF3802">
      <w:pPr>
        <w:jc w:val="left"/>
        <w:rPr>
          <w:rFonts w:ascii="仿宋_GB2312" w:hAnsi="黑体" w:eastAsia="仿宋_GB2312"/>
          <w:sz w:val="28"/>
          <w:szCs w:val="28"/>
          <w:highlight w:val="none"/>
        </w:rPr>
      </w:pPr>
    </w:p>
    <w:p w14:paraId="00F4157A">
      <w:pPr>
        <w:jc w:val="left"/>
        <w:rPr>
          <w:rFonts w:ascii="仿宋_GB2312" w:hAnsi="黑体" w:eastAsia="仿宋_GB2312"/>
          <w:sz w:val="28"/>
          <w:szCs w:val="28"/>
          <w:highlight w:val="none"/>
        </w:rPr>
      </w:pPr>
    </w:p>
    <w:p w14:paraId="6C2EA640">
      <w:pPr>
        <w:jc w:val="center"/>
        <w:rPr>
          <w:rFonts w:hint="eastAsia" w:ascii="仿宋_GB2312" w:hAnsi="黑体" w:eastAsia="仿宋_GB2312"/>
          <w:b/>
          <w:color w:val="auto"/>
          <w:sz w:val="28"/>
          <w:szCs w:val="28"/>
          <w:highlight w:val="none"/>
          <w:lang w:eastAsia="zh-CN"/>
        </w:rPr>
      </w:pPr>
      <w:bookmarkStart w:id="0" w:name="OLE_LINK3"/>
      <w:r>
        <w:rPr>
          <w:rFonts w:hint="eastAsia" w:ascii="仿宋_GB2312" w:hAnsi="黑体" w:eastAsia="仿宋_GB2312"/>
          <w:b/>
          <w:color w:val="auto"/>
          <w:sz w:val="28"/>
          <w:szCs w:val="28"/>
          <w:highlight w:val="none"/>
          <w:lang w:eastAsia="zh-CN"/>
        </w:rPr>
        <w:t>中证中小投资者服务中心有限责任公司</w:t>
      </w:r>
    </w:p>
    <w:bookmarkEnd w:id="0"/>
    <w:p w14:paraId="3DD649DA">
      <w:pPr>
        <w:jc w:val="center"/>
        <w:rPr>
          <w:rFonts w:ascii="仿宋_GB2312" w:hAnsi="黑体" w:eastAsia="仿宋_GB2312"/>
          <w:sz w:val="28"/>
          <w:szCs w:val="28"/>
          <w:highlight w:val="none"/>
        </w:rPr>
      </w:pPr>
      <w:r>
        <w:rPr>
          <w:rFonts w:hint="eastAsia" w:ascii="仿宋_GB2312" w:hAnsi="黑体" w:eastAsia="仿宋_GB2312"/>
          <w:b/>
          <w:sz w:val="28"/>
          <w:szCs w:val="28"/>
          <w:highlight w:val="none"/>
          <w:lang w:val="en-US" w:eastAsia="zh-CN"/>
        </w:rPr>
        <w:t>2026</w:t>
      </w:r>
      <w:r>
        <w:rPr>
          <w:rFonts w:hint="eastAsia" w:ascii="仿宋_GB2312" w:hAnsi="黑体" w:eastAsia="仿宋_GB2312"/>
          <w:b/>
          <w:sz w:val="28"/>
          <w:szCs w:val="28"/>
          <w:highlight w:val="none"/>
        </w:rPr>
        <w:t>年</w:t>
      </w:r>
      <w:r>
        <w:rPr>
          <w:rFonts w:hint="eastAsia" w:ascii="仿宋_GB2312" w:hAnsi="黑体" w:eastAsia="仿宋_GB2312"/>
          <w:b/>
          <w:sz w:val="28"/>
          <w:szCs w:val="28"/>
          <w:highlight w:val="none"/>
          <w:lang w:val="en-US" w:eastAsia="zh-CN"/>
        </w:rPr>
        <w:t>9</w:t>
      </w:r>
      <w:r>
        <w:rPr>
          <w:rFonts w:hint="eastAsia" w:ascii="仿宋_GB2312" w:hAnsi="黑体" w:eastAsia="仿宋_GB2312"/>
          <w:b/>
          <w:sz w:val="28"/>
          <w:szCs w:val="28"/>
          <w:highlight w:val="none"/>
        </w:rPr>
        <w:t>月</w:t>
      </w:r>
      <w:r>
        <w:rPr>
          <w:rFonts w:ascii="仿宋_GB2312" w:hAnsi="黑体" w:eastAsia="仿宋_GB2312"/>
          <w:sz w:val="28"/>
          <w:szCs w:val="28"/>
          <w:highlight w:val="none"/>
        </w:rPr>
        <w:br w:type="page"/>
      </w:r>
    </w:p>
    <w:p w14:paraId="1792A337">
      <w:pPr>
        <w:pStyle w:val="18"/>
        <w:widowControl/>
        <w:numPr>
          <w:ilvl w:val="0"/>
          <w:numId w:val="1"/>
        </w:numPr>
        <w:spacing w:line="600" w:lineRule="exact"/>
        <w:ind w:firstLineChars="0"/>
        <w:jc w:val="center"/>
        <w:outlineLvl w:val="0"/>
        <w:rPr>
          <w:rFonts w:ascii="仿宋_GB2312" w:hAnsi="黑体" w:eastAsia="仿宋_GB2312"/>
          <w:b/>
          <w:sz w:val="28"/>
          <w:szCs w:val="28"/>
          <w:highlight w:val="none"/>
        </w:rPr>
      </w:pPr>
      <w:bookmarkStart w:id="1" w:name="_Toc11164"/>
      <w:r>
        <w:rPr>
          <w:rFonts w:hint="eastAsia" w:ascii="仿宋_GB2312" w:hAnsi="黑体" w:eastAsia="仿宋_GB2312"/>
          <w:b/>
          <w:sz w:val="28"/>
          <w:szCs w:val="28"/>
          <w:highlight w:val="none"/>
        </w:rPr>
        <w:t>采购邀请</w:t>
      </w:r>
      <w:bookmarkEnd w:id="1"/>
    </w:p>
    <w:p w14:paraId="1C20BD97">
      <w:pPr>
        <w:pStyle w:val="18"/>
        <w:widowControl/>
        <w:spacing w:line="600" w:lineRule="exact"/>
        <w:ind w:firstLine="560"/>
        <w:rPr>
          <w:rFonts w:hint="eastAsia" w:ascii="仿宋_GB2312" w:hAnsi="黑体" w:eastAsia="仿宋_GB2312"/>
          <w:sz w:val="28"/>
          <w:szCs w:val="28"/>
          <w:highlight w:val="none"/>
          <w:lang w:eastAsia="zh-CN"/>
        </w:rPr>
      </w:pPr>
    </w:p>
    <w:p w14:paraId="64DB9A6E">
      <w:pPr>
        <w:pStyle w:val="18"/>
        <w:widowControl/>
        <w:spacing w:line="600" w:lineRule="exact"/>
        <w:ind w:firstLine="560"/>
        <w:rPr>
          <w:rFonts w:ascii="仿宋_GB2312" w:hAnsi="黑体" w:eastAsia="仿宋_GB2312"/>
          <w:sz w:val="28"/>
          <w:szCs w:val="28"/>
          <w:highlight w:val="none"/>
        </w:rPr>
      </w:pPr>
      <w:r>
        <w:rPr>
          <w:rFonts w:hint="eastAsia" w:ascii="仿宋_GB2312" w:hAnsi="黑体" w:eastAsia="仿宋_GB2312"/>
          <w:sz w:val="28"/>
          <w:szCs w:val="28"/>
          <w:highlight w:val="none"/>
          <w:lang w:eastAsia="zh-CN"/>
        </w:rPr>
        <w:t>中证中小投资者服务中心有限责任公司</w:t>
      </w:r>
      <w:r>
        <w:rPr>
          <w:rFonts w:hint="eastAsia" w:ascii="仿宋_GB2312" w:hAnsi="黑体" w:eastAsia="仿宋_GB2312" w:cstheme="minorBidi"/>
          <w:b w:val="0"/>
          <w:bCs/>
          <w:i w:val="0"/>
          <w:caps w:val="0"/>
          <w:spacing w:val="0"/>
          <w:kern w:val="2"/>
          <w:sz w:val="28"/>
          <w:szCs w:val="28"/>
          <w:highlight w:val="none"/>
          <w:shd w:val="clear"/>
          <w:lang w:val="en-US" w:eastAsia="zh-CN" w:bidi="ar"/>
        </w:rPr>
        <w:t>公车驾驶员租赁服务</w:t>
      </w:r>
      <w:r>
        <w:rPr>
          <w:rFonts w:hint="eastAsia" w:ascii="仿宋_GB2312" w:hAnsi="黑体" w:eastAsia="仿宋_GB2312"/>
          <w:sz w:val="28"/>
          <w:szCs w:val="28"/>
          <w:highlight w:val="none"/>
          <w:lang w:val="en-US" w:eastAsia="zh-CN"/>
        </w:rPr>
        <w:t>项目</w:t>
      </w:r>
      <w:r>
        <w:rPr>
          <w:rFonts w:hint="eastAsia" w:ascii="仿宋_GB2312" w:hAnsi="黑体" w:eastAsia="仿宋_GB2312"/>
          <w:sz w:val="28"/>
          <w:szCs w:val="28"/>
          <w:highlight w:val="none"/>
        </w:rPr>
        <w:t>已启动采购程序，现邀请符合条件的供应商参加竞争性磋商。</w:t>
      </w:r>
    </w:p>
    <w:p w14:paraId="1116C1FD">
      <w:pPr>
        <w:pStyle w:val="18"/>
        <w:widowControl/>
        <w:numPr>
          <w:ilvl w:val="0"/>
          <w:numId w:val="2"/>
        </w:numPr>
        <w:spacing w:line="600" w:lineRule="exact"/>
        <w:ind w:firstLineChars="0"/>
        <w:outlineLvl w:val="1"/>
        <w:rPr>
          <w:rFonts w:ascii="仿宋_GB2312" w:hAnsi="黑体" w:eastAsia="仿宋_GB2312"/>
          <w:b/>
          <w:bCs/>
          <w:sz w:val="28"/>
          <w:szCs w:val="28"/>
          <w:highlight w:val="none"/>
        </w:rPr>
      </w:pPr>
      <w:bookmarkStart w:id="2" w:name="_Toc18627"/>
      <w:r>
        <w:rPr>
          <w:rFonts w:hint="eastAsia" w:ascii="仿宋_GB2312" w:hAnsi="黑体" w:eastAsia="仿宋_GB2312"/>
          <w:b/>
          <w:bCs/>
          <w:sz w:val="28"/>
          <w:szCs w:val="28"/>
          <w:highlight w:val="none"/>
        </w:rPr>
        <w:t>采购项目概况</w:t>
      </w:r>
      <w:bookmarkEnd w:id="2"/>
    </w:p>
    <w:p w14:paraId="6BD0AE59">
      <w:pPr>
        <w:pStyle w:val="18"/>
        <w:widowControl/>
        <w:numPr>
          <w:ilvl w:val="0"/>
          <w:numId w:val="3"/>
        </w:numPr>
        <w:spacing w:line="600" w:lineRule="exact"/>
        <w:ind w:firstLineChars="0"/>
        <w:rPr>
          <w:rFonts w:ascii="仿宋_GB2312" w:hAnsi="黑体" w:eastAsia="仿宋_GB2312"/>
          <w:sz w:val="28"/>
          <w:szCs w:val="28"/>
          <w:highlight w:val="none"/>
        </w:rPr>
      </w:pPr>
      <w:r>
        <w:rPr>
          <w:rFonts w:hint="eastAsia" w:ascii="仿宋_GB2312" w:hAnsi="黑体" w:eastAsia="仿宋_GB2312"/>
          <w:sz w:val="28"/>
          <w:szCs w:val="28"/>
          <w:highlight w:val="none"/>
        </w:rPr>
        <w:t>采购项目名称：</w:t>
      </w:r>
      <w:r>
        <w:rPr>
          <w:rFonts w:hint="eastAsia" w:ascii="仿宋_GB2312" w:hAnsi="黑体" w:eastAsia="仿宋_GB2312" w:cstheme="minorBidi"/>
          <w:b w:val="0"/>
          <w:bCs/>
          <w:i w:val="0"/>
          <w:caps w:val="0"/>
          <w:spacing w:val="0"/>
          <w:kern w:val="2"/>
          <w:sz w:val="28"/>
          <w:szCs w:val="28"/>
          <w:highlight w:val="none"/>
          <w:shd w:val="clear"/>
          <w:lang w:val="en-US" w:eastAsia="zh-CN" w:bidi="ar"/>
        </w:rPr>
        <w:t>公车驾驶员租赁服务</w:t>
      </w:r>
    </w:p>
    <w:p w14:paraId="5CB6E05E">
      <w:pPr>
        <w:jc w:val="left"/>
        <w:rPr>
          <w:rFonts w:hint="eastAsia" w:ascii="仿宋_GB2312" w:hAnsi="黑体" w:eastAsia="仿宋_GB2312" w:cstheme="minorBidi"/>
          <w:kern w:val="2"/>
          <w:sz w:val="28"/>
          <w:szCs w:val="28"/>
          <w:highlight w:val="none"/>
          <w:lang w:val="en-US" w:eastAsia="zh-CN" w:bidi="ar-SA"/>
        </w:rPr>
      </w:pPr>
      <w:r>
        <w:rPr>
          <w:rFonts w:hint="eastAsia" w:ascii="仿宋_GB2312" w:hAnsi="黑体" w:eastAsia="仿宋_GB2312"/>
          <w:sz w:val="28"/>
          <w:szCs w:val="28"/>
          <w:highlight w:val="none"/>
        </w:rPr>
        <w:t>采购内容：</w:t>
      </w:r>
      <w:r>
        <w:rPr>
          <w:rFonts w:hint="eastAsia" w:ascii="仿宋_GB2312" w:hAnsi="黑体" w:eastAsia="仿宋_GB2312" w:cstheme="minorBidi"/>
          <w:kern w:val="2"/>
          <w:sz w:val="28"/>
          <w:szCs w:val="28"/>
          <w:highlight w:val="none"/>
          <w:lang w:val="en-US" w:eastAsia="zh-CN" w:bidi="ar-SA"/>
        </w:rPr>
        <w:t>1名持有A1驾照的公车驾驶员，驾驶17座考斯特大巴车和其他公务车辆。</w:t>
      </w:r>
    </w:p>
    <w:p w14:paraId="27CFCE41">
      <w:pPr>
        <w:jc w:val="left"/>
        <w:rPr>
          <w:rFonts w:ascii="仿宋_GB2312" w:hAnsi="黑体" w:eastAsia="仿宋_GB2312"/>
          <w:sz w:val="28"/>
          <w:szCs w:val="28"/>
          <w:highlight w:val="none"/>
        </w:rPr>
      </w:pPr>
      <w:r>
        <w:rPr>
          <w:rFonts w:hint="eastAsia" w:ascii="仿宋_GB2312" w:hAnsi="黑体" w:eastAsia="仿宋_GB2312" w:cstheme="minorBidi"/>
          <w:kern w:val="2"/>
          <w:sz w:val="28"/>
          <w:szCs w:val="28"/>
          <w:highlight w:val="none"/>
          <w:lang w:val="en-US" w:eastAsia="zh-CN" w:bidi="ar-SA"/>
        </w:rPr>
        <w:t>服务期限：2026年11月1日起至2028年10月31日止。</w:t>
      </w:r>
    </w:p>
    <w:p w14:paraId="6F7C7BE5">
      <w:pPr>
        <w:pStyle w:val="18"/>
        <w:widowControl/>
        <w:numPr>
          <w:ilvl w:val="0"/>
          <w:numId w:val="3"/>
        </w:numPr>
        <w:spacing w:line="600" w:lineRule="exact"/>
        <w:ind w:firstLineChars="0"/>
        <w:rPr>
          <w:rFonts w:ascii="仿宋_GB2312" w:hAnsi="黑体" w:eastAsia="仿宋_GB2312"/>
          <w:sz w:val="28"/>
          <w:szCs w:val="28"/>
          <w:highlight w:val="none"/>
        </w:rPr>
      </w:pPr>
      <w:r>
        <w:rPr>
          <w:rFonts w:hint="eastAsia" w:ascii="仿宋_GB2312" w:hAnsi="黑体" w:eastAsia="仿宋_GB2312"/>
          <w:sz w:val="28"/>
          <w:szCs w:val="28"/>
          <w:highlight w:val="none"/>
        </w:rPr>
        <w:t>采购人：</w:t>
      </w:r>
      <w:bookmarkStart w:id="3" w:name="OLE_LINK4"/>
      <w:r>
        <w:rPr>
          <w:rFonts w:hint="eastAsia" w:ascii="仿宋_GB2312" w:hAnsi="黑体" w:eastAsia="仿宋_GB2312"/>
          <w:sz w:val="28"/>
          <w:szCs w:val="28"/>
          <w:highlight w:val="none"/>
          <w:lang w:eastAsia="zh-CN"/>
        </w:rPr>
        <w:t>中证中小投资者服务中心有限责任公司</w:t>
      </w:r>
      <w:bookmarkEnd w:id="3"/>
    </w:p>
    <w:p w14:paraId="77697D22">
      <w:pPr>
        <w:pStyle w:val="18"/>
        <w:widowControl/>
        <w:numPr>
          <w:ilvl w:val="0"/>
          <w:numId w:val="2"/>
        </w:numPr>
        <w:spacing w:line="600" w:lineRule="exact"/>
        <w:ind w:firstLineChars="0"/>
        <w:outlineLvl w:val="1"/>
        <w:rPr>
          <w:rFonts w:ascii="仿宋_GB2312" w:hAnsi="黑体" w:eastAsia="仿宋_GB2312"/>
          <w:b/>
          <w:bCs/>
          <w:sz w:val="28"/>
          <w:szCs w:val="28"/>
          <w:highlight w:val="none"/>
        </w:rPr>
      </w:pPr>
      <w:bookmarkStart w:id="4" w:name="_Toc24608"/>
      <w:r>
        <w:rPr>
          <w:rFonts w:hint="eastAsia" w:ascii="仿宋_GB2312" w:hAnsi="黑体" w:eastAsia="仿宋_GB2312"/>
          <w:b/>
          <w:bCs/>
          <w:sz w:val="28"/>
          <w:szCs w:val="28"/>
          <w:highlight w:val="none"/>
        </w:rPr>
        <w:t>提交响应文件及竞争性磋商的时间和地点</w:t>
      </w:r>
      <w:bookmarkEnd w:id="4"/>
    </w:p>
    <w:p w14:paraId="61D1F571">
      <w:pPr>
        <w:pStyle w:val="18"/>
        <w:widowControl/>
        <w:numPr>
          <w:ilvl w:val="0"/>
          <w:numId w:val="4"/>
        </w:numPr>
        <w:spacing w:line="600" w:lineRule="exact"/>
        <w:ind w:left="0" w:firstLine="0" w:firstLineChars="0"/>
        <w:rPr>
          <w:rFonts w:hint="eastAsia" w:ascii="仿宋_GB2312" w:hAnsi="黑体" w:eastAsia="仿宋_GB2312"/>
          <w:sz w:val="28"/>
          <w:szCs w:val="28"/>
          <w:highlight w:val="none"/>
        </w:rPr>
      </w:pPr>
      <w:r>
        <w:rPr>
          <w:rFonts w:hint="eastAsia" w:ascii="仿宋_GB2312" w:hAnsi="黑体" w:eastAsia="仿宋_GB2312"/>
          <w:sz w:val="28"/>
          <w:szCs w:val="28"/>
          <w:highlight w:val="none"/>
          <w:lang w:eastAsia="zh-CN"/>
        </w:rPr>
        <w:t>提交响应文件</w:t>
      </w:r>
      <w:r>
        <w:rPr>
          <w:rFonts w:hint="eastAsia" w:ascii="仿宋_GB2312" w:hAnsi="黑体" w:eastAsia="仿宋_GB2312"/>
          <w:sz w:val="28"/>
          <w:szCs w:val="28"/>
          <w:highlight w:val="none"/>
        </w:rPr>
        <w:t>时间</w:t>
      </w:r>
      <w:r>
        <w:rPr>
          <w:rFonts w:hint="eastAsia" w:ascii="仿宋_GB2312" w:hAnsi="黑体" w:eastAsia="仿宋_GB2312"/>
          <w:sz w:val="28"/>
          <w:szCs w:val="28"/>
          <w:highlight w:val="none"/>
          <w:lang w:val="en-US" w:eastAsia="zh-CN"/>
        </w:rPr>
        <w:t>及</w:t>
      </w:r>
      <w:r>
        <w:rPr>
          <w:rFonts w:hint="eastAsia" w:ascii="仿宋_GB2312" w:hAnsi="黑体" w:eastAsia="仿宋_GB2312"/>
          <w:sz w:val="28"/>
          <w:szCs w:val="28"/>
          <w:highlight w:val="none"/>
        </w:rPr>
        <w:t>竞争性磋商时间：</w:t>
      </w:r>
      <w:r>
        <w:rPr>
          <w:rFonts w:hint="eastAsia" w:ascii="仿宋_GB2312" w:hAnsi="黑体" w:eastAsia="仿宋_GB2312"/>
          <w:sz w:val="28"/>
          <w:szCs w:val="28"/>
          <w:highlight w:val="none"/>
          <w:lang w:eastAsia="zh-CN"/>
        </w:rPr>
        <w:t>于</w:t>
      </w:r>
      <w:r>
        <w:rPr>
          <w:rFonts w:hint="eastAsia" w:ascii="仿宋_GB2312" w:hAnsi="黑体" w:eastAsia="仿宋_GB2312"/>
          <w:sz w:val="28"/>
          <w:szCs w:val="28"/>
          <w:highlight w:val="none"/>
          <w:lang w:val="en-US" w:eastAsia="zh-CN"/>
        </w:rPr>
        <w:t>2026年10月8</w:t>
      </w:r>
      <w:bookmarkStart w:id="15" w:name="_GoBack"/>
      <w:bookmarkEnd w:id="15"/>
      <w:r>
        <w:rPr>
          <w:rFonts w:hint="eastAsia" w:ascii="仿宋_GB2312" w:hAnsi="黑体" w:eastAsia="仿宋_GB2312"/>
          <w:sz w:val="28"/>
          <w:szCs w:val="28"/>
          <w:highlight w:val="none"/>
          <w:lang w:val="en-US" w:eastAsia="zh-CN"/>
        </w:rPr>
        <w:t>日召开磋商会议并提交响应文件，若有延期将另行通知报名供应商。</w:t>
      </w:r>
    </w:p>
    <w:p w14:paraId="66A3F387">
      <w:pPr>
        <w:pStyle w:val="18"/>
        <w:widowControl/>
        <w:numPr>
          <w:ilvl w:val="0"/>
          <w:numId w:val="4"/>
        </w:numPr>
        <w:spacing w:line="600" w:lineRule="exact"/>
        <w:ind w:left="0" w:firstLine="0" w:firstLineChars="0"/>
        <w:rPr>
          <w:rFonts w:hint="eastAsia" w:ascii="仿宋_GB2312" w:hAnsi="黑体" w:eastAsia="仿宋_GB2312"/>
          <w:sz w:val="28"/>
          <w:szCs w:val="28"/>
          <w:highlight w:val="none"/>
        </w:rPr>
      </w:pPr>
      <w:r>
        <w:rPr>
          <w:rFonts w:hint="eastAsia" w:ascii="仿宋_GB2312" w:hAnsi="黑体" w:eastAsia="仿宋_GB2312"/>
          <w:sz w:val="28"/>
          <w:szCs w:val="28"/>
          <w:highlight w:val="none"/>
        </w:rPr>
        <w:t>提交响应文件</w:t>
      </w:r>
      <w:r>
        <w:rPr>
          <w:rFonts w:hint="eastAsia" w:ascii="仿宋_GB2312" w:hAnsi="黑体" w:eastAsia="仿宋_GB2312"/>
          <w:sz w:val="28"/>
          <w:szCs w:val="28"/>
          <w:highlight w:val="none"/>
          <w:lang w:val="en-US" w:eastAsia="zh-CN"/>
        </w:rPr>
        <w:t>及</w:t>
      </w:r>
      <w:r>
        <w:rPr>
          <w:rFonts w:hint="eastAsia" w:ascii="仿宋_GB2312" w:hAnsi="黑体" w:eastAsia="仿宋_GB2312"/>
          <w:sz w:val="28"/>
          <w:szCs w:val="28"/>
          <w:highlight w:val="none"/>
        </w:rPr>
        <w:t>竞争性磋商地点：</w:t>
      </w:r>
      <w:r>
        <w:rPr>
          <w:rFonts w:hint="eastAsia" w:ascii="仿宋_GB2312" w:hAnsi="黑体" w:eastAsia="仿宋_GB2312"/>
          <w:sz w:val="28"/>
          <w:szCs w:val="28"/>
          <w:highlight w:val="none"/>
          <w:lang w:eastAsia="zh-CN"/>
        </w:rPr>
        <w:t>上海市浦东新区杨高南路</w:t>
      </w:r>
      <w:r>
        <w:rPr>
          <w:rFonts w:hint="eastAsia" w:ascii="仿宋_GB2312" w:hAnsi="黑体" w:eastAsia="仿宋_GB2312"/>
          <w:sz w:val="28"/>
          <w:szCs w:val="28"/>
          <w:highlight w:val="none"/>
          <w:lang w:val="en-US" w:eastAsia="zh-CN"/>
        </w:rPr>
        <w:t>288号15层</w:t>
      </w:r>
    </w:p>
    <w:p w14:paraId="687F8F24">
      <w:pPr>
        <w:pStyle w:val="18"/>
        <w:widowControl/>
        <w:numPr>
          <w:ilvl w:val="0"/>
          <w:numId w:val="0"/>
        </w:numPr>
        <w:spacing w:line="600" w:lineRule="exact"/>
        <w:ind w:leftChars="0"/>
        <w:rPr>
          <w:rFonts w:hint="default" w:ascii="仿宋_GB2312" w:hAnsi="黑体" w:eastAsia="仿宋_GB2312"/>
          <w:sz w:val="28"/>
          <w:szCs w:val="28"/>
          <w:highlight w:val="none"/>
          <w:lang w:val="en-US"/>
        </w:rPr>
      </w:pPr>
      <w:r>
        <w:rPr>
          <w:rFonts w:hint="eastAsia" w:ascii="仿宋_GB2312" w:hAnsi="黑体" w:eastAsia="仿宋_GB2312"/>
          <w:sz w:val="28"/>
          <w:szCs w:val="28"/>
          <w:highlight w:val="none"/>
          <w:lang w:val="en-US" w:eastAsia="zh-CN"/>
        </w:rPr>
        <w:t xml:space="preserve">      要求：司机应携带A1驾照到场参加现场测试（测试期间如发生机动车安全事故由供应商承担全部责任）。</w:t>
      </w:r>
    </w:p>
    <w:p w14:paraId="2C3F467B">
      <w:pPr>
        <w:pStyle w:val="18"/>
        <w:widowControl/>
        <w:numPr>
          <w:ilvl w:val="0"/>
          <w:numId w:val="4"/>
        </w:numPr>
        <w:spacing w:line="600" w:lineRule="exact"/>
        <w:ind w:left="0" w:firstLine="0" w:firstLineChars="0"/>
        <w:rPr>
          <w:rFonts w:hint="default" w:ascii="仿宋_GB2312" w:hAnsi="黑体" w:eastAsia="仿宋_GB2312"/>
          <w:sz w:val="28"/>
          <w:szCs w:val="28"/>
          <w:highlight w:val="none"/>
          <w:lang w:val="en-US" w:eastAsia="zh-CN"/>
        </w:rPr>
      </w:pPr>
      <w:r>
        <w:rPr>
          <w:rFonts w:hint="eastAsia" w:ascii="仿宋_GB2312" w:hAnsi="黑体" w:eastAsia="仿宋_GB2312"/>
          <w:sz w:val="28"/>
          <w:szCs w:val="28"/>
          <w:highlight w:val="none"/>
        </w:rPr>
        <w:t>联系人：</w:t>
      </w:r>
      <w:r>
        <w:rPr>
          <w:rFonts w:hint="eastAsia" w:ascii="仿宋_GB2312" w:hAnsi="黑体" w:eastAsia="仿宋_GB2312"/>
          <w:sz w:val="28"/>
          <w:szCs w:val="28"/>
          <w:highlight w:val="none"/>
          <w:lang w:eastAsia="zh-CN"/>
        </w:rPr>
        <w:t>费老师、</w:t>
      </w:r>
      <w:r>
        <w:rPr>
          <w:rFonts w:hint="eastAsia" w:ascii="仿宋_GB2312" w:hAnsi="黑体" w:eastAsia="仿宋_GB2312"/>
          <w:sz w:val="28"/>
          <w:szCs w:val="28"/>
          <w:highlight w:val="none"/>
          <w:lang w:val="en-US" w:eastAsia="zh-CN"/>
        </w:rPr>
        <w:t>徐老师、李老师</w:t>
      </w:r>
    </w:p>
    <w:p w14:paraId="257A2A83">
      <w:pPr>
        <w:pStyle w:val="18"/>
        <w:widowControl/>
        <w:numPr>
          <w:ilvl w:val="0"/>
          <w:numId w:val="0"/>
        </w:numPr>
        <w:spacing w:line="600" w:lineRule="exact"/>
        <w:ind w:leftChars="0" w:firstLine="840" w:firstLineChars="300"/>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rPr>
        <w:t>电话：</w:t>
      </w:r>
      <w:r>
        <w:rPr>
          <w:rFonts w:hint="default" w:ascii="Times New Roman" w:hAnsi="Times New Roman" w:eastAsia="仿宋_GB2312" w:cs="Times New Roman"/>
          <w:sz w:val="28"/>
          <w:szCs w:val="28"/>
          <w:highlight w:val="none"/>
          <w:lang w:val="en-US" w:eastAsia="zh-CN"/>
        </w:rPr>
        <w:t>021-51916196</w:t>
      </w:r>
    </w:p>
    <w:p w14:paraId="53317D31">
      <w:pPr>
        <w:pStyle w:val="18"/>
        <w:widowControl/>
        <w:numPr>
          <w:ilvl w:val="0"/>
          <w:numId w:val="0"/>
        </w:numPr>
        <w:spacing w:line="600" w:lineRule="exact"/>
        <w:ind w:leftChars="0" w:firstLine="840" w:firstLineChars="300"/>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邮箱：hffei@isc.com.cn、zzxu@isc.com.cn、yli@isc.com.cn</w:t>
      </w:r>
    </w:p>
    <w:p w14:paraId="23C71939">
      <w:pPr>
        <w:pStyle w:val="18"/>
        <w:widowControl/>
        <w:numPr>
          <w:ilvl w:val="0"/>
          <w:numId w:val="2"/>
        </w:numPr>
        <w:spacing w:line="600" w:lineRule="exact"/>
        <w:ind w:firstLineChars="0"/>
        <w:outlineLvl w:val="1"/>
        <w:rPr>
          <w:rFonts w:ascii="仿宋_GB2312" w:hAnsi="黑体" w:eastAsia="仿宋_GB2312"/>
          <w:b/>
          <w:bCs/>
          <w:sz w:val="28"/>
          <w:szCs w:val="28"/>
          <w:highlight w:val="none"/>
        </w:rPr>
      </w:pPr>
      <w:bookmarkStart w:id="5" w:name="_Toc15057"/>
      <w:r>
        <w:rPr>
          <w:rFonts w:hint="eastAsia" w:ascii="仿宋_GB2312" w:hAnsi="黑体" w:eastAsia="仿宋_GB2312"/>
          <w:b/>
          <w:bCs/>
          <w:sz w:val="28"/>
          <w:szCs w:val="28"/>
          <w:highlight w:val="none"/>
        </w:rPr>
        <w:t>其他相关说明</w:t>
      </w:r>
      <w:bookmarkEnd w:id="5"/>
    </w:p>
    <w:p w14:paraId="5BD4CEF1">
      <w:pPr>
        <w:pStyle w:val="18"/>
        <w:widowControl/>
        <w:spacing w:line="600" w:lineRule="exact"/>
        <w:rPr>
          <w:rFonts w:ascii="仿宋_GB2312" w:hAnsi="黑体" w:eastAsia="仿宋_GB2312"/>
          <w:sz w:val="28"/>
          <w:szCs w:val="28"/>
          <w:highlight w:val="none"/>
        </w:rPr>
      </w:pPr>
      <w:r>
        <w:rPr>
          <w:rFonts w:hint="eastAsia" w:ascii="仿宋_GB2312" w:hAnsi="黑体" w:eastAsia="仿宋_GB2312"/>
          <w:sz w:val="28"/>
          <w:szCs w:val="28"/>
          <w:highlight w:val="none"/>
        </w:rPr>
        <w:t>本次采购活动未尽事宜的解释权属于</w:t>
      </w:r>
      <w:r>
        <w:rPr>
          <w:rFonts w:hint="eastAsia" w:ascii="仿宋_GB2312" w:hAnsi="黑体" w:eastAsia="仿宋_GB2312"/>
          <w:sz w:val="28"/>
          <w:szCs w:val="28"/>
          <w:highlight w:val="none"/>
          <w:lang w:eastAsia="zh-CN"/>
        </w:rPr>
        <w:t>中证中小投资者服务中心有限责任公司</w:t>
      </w:r>
      <w:r>
        <w:rPr>
          <w:rFonts w:hint="eastAsia" w:ascii="仿宋_GB2312" w:hAnsi="黑体" w:eastAsia="仿宋_GB2312"/>
          <w:sz w:val="28"/>
          <w:szCs w:val="28"/>
          <w:highlight w:val="none"/>
        </w:rPr>
        <w:t>。</w:t>
      </w:r>
    </w:p>
    <w:p w14:paraId="766B95BB">
      <w:pPr>
        <w:pStyle w:val="18"/>
        <w:widowControl/>
        <w:spacing w:line="600" w:lineRule="exact"/>
        <w:ind w:left="420" w:firstLine="0" w:firstLineChars="0"/>
        <w:rPr>
          <w:rFonts w:ascii="仿宋_GB2312" w:hAnsi="黑体" w:eastAsia="仿宋_GB2312"/>
          <w:sz w:val="28"/>
          <w:szCs w:val="28"/>
          <w:highlight w:val="none"/>
        </w:rPr>
      </w:pPr>
    </w:p>
    <w:p w14:paraId="31F3396C">
      <w:pPr>
        <w:pStyle w:val="18"/>
        <w:widowControl/>
        <w:spacing w:line="600" w:lineRule="exact"/>
        <w:ind w:left="420" w:firstLine="0" w:firstLineChars="0"/>
        <w:rPr>
          <w:rFonts w:ascii="仿宋_GB2312" w:hAnsi="黑体" w:eastAsia="仿宋_GB2312"/>
          <w:sz w:val="28"/>
          <w:szCs w:val="28"/>
          <w:highlight w:val="none"/>
        </w:rPr>
      </w:pPr>
    </w:p>
    <w:p w14:paraId="4AF7717B">
      <w:pPr>
        <w:pStyle w:val="18"/>
        <w:widowControl/>
        <w:numPr>
          <w:ilvl w:val="0"/>
          <w:numId w:val="1"/>
        </w:numPr>
        <w:spacing w:line="600" w:lineRule="exact"/>
        <w:ind w:firstLineChars="0"/>
        <w:jc w:val="center"/>
        <w:outlineLvl w:val="0"/>
        <w:rPr>
          <w:rFonts w:ascii="仿宋_GB2312" w:hAnsi="黑体" w:eastAsia="仿宋_GB2312"/>
          <w:b/>
          <w:sz w:val="28"/>
          <w:szCs w:val="28"/>
          <w:highlight w:val="none"/>
        </w:rPr>
      </w:pPr>
      <w:bookmarkStart w:id="6" w:name="_Toc1303"/>
      <w:r>
        <w:rPr>
          <w:rFonts w:hint="eastAsia" w:ascii="仿宋_GB2312" w:hAnsi="黑体" w:eastAsia="仿宋_GB2312"/>
          <w:b/>
          <w:sz w:val="28"/>
          <w:szCs w:val="28"/>
          <w:highlight w:val="none"/>
        </w:rPr>
        <w:t>采购内容及要求</w:t>
      </w:r>
      <w:bookmarkEnd w:id="6"/>
    </w:p>
    <w:p w14:paraId="1DF1A2B7">
      <w:pPr>
        <w:pStyle w:val="18"/>
        <w:widowControl/>
        <w:spacing w:line="600" w:lineRule="exact"/>
        <w:ind w:left="420"/>
        <w:rPr>
          <w:rFonts w:hint="eastAsia" w:ascii="黑体" w:hAnsi="黑体" w:eastAsia="黑体" w:cs="黑体"/>
          <w:b w:val="0"/>
          <w:bCs w:val="0"/>
          <w:sz w:val="28"/>
          <w:szCs w:val="28"/>
          <w:highlight w:val="none"/>
          <w:lang w:eastAsia="zh-CN"/>
        </w:rPr>
      </w:pPr>
      <w:r>
        <w:rPr>
          <w:rFonts w:hint="eastAsia" w:ascii="黑体" w:hAnsi="黑体" w:eastAsia="黑体" w:cs="黑体"/>
          <w:b w:val="0"/>
          <w:bCs w:val="0"/>
          <w:sz w:val="28"/>
          <w:szCs w:val="28"/>
          <w:highlight w:val="none"/>
          <w:lang w:eastAsia="zh-CN"/>
        </w:rPr>
        <w:t>一、基本要求</w:t>
      </w:r>
    </w:p>
    <w:p w14:paraId="030B1EBF">
      <w:pPr>
        <w:pStyle w:val="18"/>
        <w:widowControl/>
        <w:spacing w:line="600" w:lineRule="exact"/>
        <w:ind w:left="420"/>
        <w:rPr>
          <w:rFonts w:hint="eastAsia" w:ascii="仿宋_GB2312" w:hAnsi="黑体" w:eastAsia="仿宋_GB2312" w:cstheme="minorBidi"/>
          <w:b w:val="0"/>
          <w:bCs w:val="0"/>
          <w:sz w:val="28"/>
          <w:szCs w:val="28"/>
          <w:highlight w:val="none"/>
        </w:rPr>
      </w:pPr>
      <w:r>
        <w:rPr>
          <w:rFonts w:hint="eastAsia" w:ascii="仿宋_GB2312" w:hAnsi="黑体" w:eastAsia="仿宋_GB2312" w:cstheme="minorBidi"/>
          <w:b w:val="0"/>
          <w:bCs w:val="0"/>
          <w:sz w:val="28"/>
          <w:szCs w:val="28"/>
          <w:highlight w:val="none"/>
          <w:lang w:eastAsia="zh-CN"/>
        </w:rPr>
        <w:t>1</w:t>
      </w:r>
      <w:r>
        <w:rPr>
          <w:rFonts w:hint="eastAsia" w:ascii="仿宋_GB2312" w:hAnsi="黑体" w:eastAsia="仿宋_GB2312" w:cstheme="minorBidi"/>
          <w:b w:val="0"/>
          <w:bCs w:val="0"/>
          <w:sz w:val="28"/>
          <w:szCs w:val="28"/>
          <w:highlight w:val="none"/>
        </w:rPr>
        <w:t>、驾驶员</w:t>
      </w:r>
      <w:r>
        <w:rPr>
          <w:rFonts w:hint="eastAsia" w:ascii="仿宋_GB2312" w:hAnsi="黑体" w:eastAsia="仿宋_GB2312" w:cstheme="minorBidi"/>
          <w:kern w:val="2"/>
          <w:sz w:val="28"/>
          <w:szCs w:val="28"/>
          <w:highlight w:val="none"/>
          <w:lang w:val="en-US" w:eastAsia="zh-CN" w:bidi="ar-SA"/>
        </w:rPr>
        <w:t>持有A1驾照，</w:t>
      </w:r>
      <w:r>
        <w:rPr>
          <w:rFonts w:hint="eastAsia" w:ascii="仿宋_GB2312" w:hAnsi="黑体" w:eastAsia="仿宋_GB2312" w:cstheme="minorBidi"/>
          <w:b w:val="0"/>
          <w:bCs w:val="0"/>
          <w:sz w:val="28"/>
          <w:szCs w:val="28"/>
          <w:highlight w:val="none"/>
        </w:rPr>
        <w:t>具有</w:t>
      </w:r>
      <w:r>
        <w:rPr>
          <w:rFonts w:hint="eastAsia" w:ascii="仿宋_GB2312" w:hAnsi="黑体" w:eastAsia="仿宋_GB2312" w:cstheme="minorBidi"/>
          <w:b w:val="0"/>
          <w:bCs w:val="0"/>
          <w:sz w:val="28"/>
          <w:szCs w:val="28"/>
          <w:highlight w:val="none"/>
          <w:lang w:eastAsia="zh-CN"/>
        </w:rPr>
        <w:t>3</w:t>
      </w:r>
      <w:r>
        <w:rPr>
          <w:rFonts w:hint="eastAsia" w:ascii="仿宋_GB2312" w:hAnsi="黑体" w:eastAsia="仿宋_GB2312" w:cstheme="minorBidi"/>
          <w:b w:val="0"/>
          <w:bCs w:val="0"/>
          <w:sz w:val="28"/>
          <w:szCs w:val="28"/>
          <w:highlight w:val="none"/>
        </w:rPr>
        <w:t>年以上大客车驾驶</w:t>
      </w:r>
      <w:r>
        <w:rPr>
          <w:rFonts w:hint="eastAsia" w:ascii="仿宋_GB2312" w:hAnsi="黑体" w:eastAsia="仿宋_GB2312" w:cstheme="minorBidi"/>
          <w:b w:val="0"/>
          <w:bCs w:val="0"/>
          <w:sz w:val="28"/>
          <w:szCs w:val="28"/>
          <w:highlight w:val="none"/>
          <w:lang w:eastAsia="zh-CN"/>
        </w:rPr>
        <w:t>经验</w:t>
      </w:r>
      <w:r>
        <w:rPr>
          <w:rFonts w:hint="eastAsia" w:ascii="仿宋_GB2312" w:hAnsi="黑体" w:eastAsia="仿宋_GB2312" w:cstheme="minorBidi"/>
          <w:b w:val="0"/>
          <w:bCs w:val="0"/>
          <w:sz w:val="28"/>
          <w:szCs w:val="28"/>
          <w:highlight w:val="none"/>
        </w:rPr>
        <w:t>、身体状况良好，无重大交通事故记录及刑事违法犯罪记录，</w:t>
      </w:r>
      <w:r>
        <w:rPr>
          <w:rFonts w:hint="eastAsia" w:ascii="仿宋_GB2312" w:hAnsi="黑体" w:eastAsia="仿宋_GB2312" w:cstheme="minorBidi"/>
          <w:b w:val="0"/>
          <w:bCs w:val="0"/>
          <w:sz w:val="28"/>
          <w:szCs w:val="28"/>
          <w:highlight w:val="none"/>
          <w:lang w:eastAsia="zh-CN"/>
        </w:rPr>
        <w:t>近三年交通违章记录不高于</w:t>
      </w:r>
      <w:r>
        <w:rPr>
          <w:rFonts w:hint="eastAsia" w:ascii="仿宋_GB2312" w:hAnsi="黑体" w:eastAsia="仿宋_GB2312" w:cstheme="minorBidi"/>
          <w:b w:val="0"/>
          <w:bCs w:val="0"/>
          <w:sz w:val="28"/>
          <w:szCs w:val="28"/>
          <w:highlight w:val="none"/>
          <w:lang w:val="en-US" w:eastAsia="zh-CN"/>
        </w:rPr>
        <w:t>3次，</w:t>
      </w:r>
      <w:r>
        <w:rPr>
          <w:rFonts w:hint="eastAsia" w:ascii="仿宋_GB2312" w:hAnsi="黑体" w:eastAsia="仿宋_GB2312" w:cstheme="minorBidi"/>
          <w:b w:val="0"/>
          <w:bCs w:val="0"/>
          <w:sz w:val="28"/>
          <w:szCs w:val="28"/>
          <w:highlight w:val="none"/>
        </w:rPr>
        <w:t>并提供相关证明；</w:t>
      </w:r>
    </w:p>
    <w:p w14:paraId="269A563F">
      <w:pPr>
        <w:pStyle w:val="18"/>
        <w:widowControl/>
        <w:spacing w:line="600" w:lineRule="exact"/>
        <w:ind w:left="420"/>
        <w:rPr>
          <w:rFonts w:hint="eastAsia" w:ascii="仿宋_GB2312" w:hAnsi="黑体" w:eastAsia="仿宋_GB2312" w:cstheme="minorBidi"/>
          <w:sz w:val="28"/>
          <w:szCs w:val="28"/>
          <w:highlight w:val="none"/>
        </w:rPr>
      </w:pPr>
      <w:r>
        <w:rPr>
          <w:rFonts w:hint="eastAsia" w:ascii="仿宋_GB2312" w:hAnsi="黑体" w:eastAsia="仿宋_GB2312" w:cstheme="minorBidi"/>
          <w:sz w:val="28"/>
          <w:szCs w:val="28"/>
          <w:highlight w:val="none"/>
          <w:lang w:eastAsia="zh-CN"/>
        </w:rPr>
        <w:t>2</w:t>
      </w:r>
      <w:r>
        <w:rPr>
          <w:rFonts w:hint="eastAsia" w:ascii="仿宋_GB2312" w:hAnsi="黑体" w:eastAsia="仿宋_GB2312" w:cstheme="minorBidi"/>
          <w:sz w:val="28"/>
          <w:szCs w:val="28"/>
          <w:highlight w:val="none"/>
        </w:rPr>
        <w:t>、应保证驾驶员的相对稳定，避免频繁更换驾驶员；</w:t>
      </w:r>
    </w:p>
    <w:p w14:paraId="7B1480AE">
      <w:pPr>
        <w:pStyle w:val="18"/>
        <w:widowControl/>
        <w:spacing w:line="600" w:lineRule="exact"/>
        <w:ind w:left="420"/>
        <w:rPr>
          <w:rFonts w:hint="eastAsia" w:ascii="仿宋_GB2312" w:hAnsi="黑体" w:eastAsia="仿宋_GB2312" w:cstheme="minorBidi"/>
          <w:b w:val="0"/>
          <w:bCs w:val="0"/>
          <w:sz w:val="28"/>
          <w:szCs w:val="28"/>
          <w:highlight w:val="none"/>
        </w:rPr>
      </w:pPr>
      <w:r>
        <w:rPr>
          <w:rFonts w:hint="eastAsia" w:ascii="仿宋_GB2312" w:hAnsi="黑体" w:eastAsia="仿宋_GB2312" w:cstheme="minorBidi"/>
          <w:b w:val="0"/>
          <w:bCs w:val="0"/>
          <w:sz w:val="28"/>
          <w:szCs w:val="28"/>
          <w:highlight w:val="none"/>
          <w:lang w:eastAsia="zh-CN"/>
        </w:rPr>
        <w:t>3</w:t>
      </w:r>
      <w:r>
        <w:rPr>
          <w:rFonts w:hint="eastAsia" w:ascii="仿宋_GB2312" w:hAnsi="黑体" w:eastAsia="仿宋_GB2312" w:cstheme="minorBidi"/>
          <w:b w:val="0"/>
          <w:bCs w:val="0"/>
          <w:sz w:val="28"/>
          <w:szCs w:val="28"/>
          <w:highlight w:val="none"/>
        </w:rPr>
        <w:t>、驾驶员在服务期限内发生的安全事故由</w:t>
      </w:r>
      <w:r>
        <w:rPr>
          <w:rFonts w:hint="eastAsia" w:ascii="仿宋_GB2312" w:hAnsi="黑体" w:eastAsia="仿宋_GB2312" w:cstheme="minorBidi"/>
          <w:b w:val="0"/>
          <w:bCs w:val="0"/>
          <w:sz w:val="28"/>
          <w:szCs w:val="28"/>
          <w:highlight w:val="none"/>
          <w:lang w:eastAsia="zh-CN"/>
        </w:rPr>
        <w:t>供应商</w:t>
      </w:r>
      <w:r>
        <w:rPr>
          <w:rFonts w:hint="eastAsia" w:ascii="仿宋_GB2312" w:hAnsi="黑体" w:eastAsia="仿宋_GB2312" w:cstheme="minorBidi"/>
          <w:b w:val="0"/>
          <w:bCs w:val="0"/>
          <w:sz w:val="28"/>
          <w:szCs w:val="28"/>
          <w:highlight w:val="none"/>
        </w:rPr>
        <w:t>负全部责任，发生的安全事故责任和经济责任全部由</w:t>
      </w:r>
      <w:r>
        <w:rPr>
          <w:rFonts w:hint="eastAsia" w:ascii="仿宋_GB2312" w:hAnsi="黑体" w:eastAsia="仿宋_GB2312" w:cstheme="minorBidi"/>
          <w:b w:val="0"/>
          <w:bCs w:val="0"/>
          <w:sz w:val="28"/>
          <w:szCs w:val="28"/>
          <w:highlight w:val="none"/>
          <w:lang w:eastAsia="zh-CN"/>
        </w:rPr>
        <w:t>供应商</w:t>
      </w:r>
      <w:r>
        <w:rPr>
          <w:rFonts w:hint="eastAsia" w:ascii="仿宋_GB2312" w:hAnsi="黑体" w:eastAsia="仿宋_GB2312" w:cstheme="minorBidi"/>
          <w:b w:val="0"/>
          <w:bCs w:val="0"/>
          <w:sz w:val="28"/>
          <w:szCs w:val="28"/>
          <w:highlight w:val="none"/>
        </w:rPr>
        <w:t>承担。</w:t>
      </w:r>
    </w:p>
    <w:p w14:paraId="666A40BA">
      <w:pPr>
        <w:pStyle w:val="18"/>
        <w:widowControl/>
        <w:spacing w:line="600" w:lineRule="exact"/>
        <w:ind w:left="420"/>
        <w:rPr>
          <w:rFonts w:hint="default" w:ascii="仿宋_GB2312" w:hAnsi="黑体" w:eastAsia="仿宋_GB2312" w:cstheme="minorBidi"/>
          <w:b w:val="0"/>
          <w:bCs w:val="0"/>
          <w:sz w:val="28"/>
          <w:szCs w:val="28"/>
          <w:highlight w:val="none"/>
          <w:lang w:val="en-US" w:eastAsia="zh-CN"/>
        </w:rPr>
      </w:pPr>
      <w:r>
        <w:rPr>
          <w:rFonts w:hint="eastAsia" w:ascii="仿宋_GB2312" w:hAnsi="黑体" w:eastAsia="仿宋_GB2312" w:cstheme="minorBidi"/>
          <w:b w:val="0"/>
          <w:bCs w:val="0"/>
          <w:sz w:val="28"/>
          <w:szCs w:val="28"/>
          <w:highlight w:val="none"/>
          <w:lang w:val="en-US" w:eastAsia="zh-CN"/>
        </w:rPr>
        <w:t>4、驾驶员入职前须提供入职体检报告。</w:t>
      </w:r>
    </w:p>
    <w:p w14:paraId="12566909">
      <w:pPr>
        <w:pStyle w:val="18"/>
        <w:widowControl/>
        <w:spacing w:line="600" w:lineRule="exact"/>
        <w:ind w:left="420"/>
        <w:rPr>
          <w:rFonts w:hint="eastAsia" w:ascii="黑体" w:hAnsi="黑体" w:eastAsia="黑体" w:cs="黑体"/>
          <w:b w:val="0"/>
          <w:sz w:val="28"/>
          <w:szCs w:val="28"/>
          <w:highlight w:val="none"/>
        </w:rPr>
      </w:pPr>
      <w:r>
        <w:rPr>
          <w:rFonts w:hint="eastAsia" w:ascii="黑体" w:hAnsi="黑体" w:eastAsia="黑体" w:cs="黑体"/>
          <w:b w:val="0"/>
          <w:sz w:val="28"/>
          <w:szCs w:val="28"/>
          <w:highlight w:val="none"/>
          <w:lang w:eastAsia="zh-CN"/>
        </w:rPr>
        <w:t>二</w:t>
      </w:r>
      <w:r>
        <w:rPr>
          <w:rFonts w:hint="eastAsia" w:ascii="黑体" w:hAnsi="黑体" w:eastAsia="黑体" w:cs="黑体"/>
          <w:b w:val="0"/>
          <w:sz w:val="28"/>
          <w:szCs w:val="28"/>
          <w:highlight w:val="none"/>
        </w:rPr>
        <w:t>、其他要求</w:t>
      </w:r>
    </w:p>
    <w:p w14:paraId="69812FB4">
      <w:pPr>
        <w:pStyle w:val="18"/>
        <w:widowControl/>
        <w:spacing w:line="600" w:lineRule="exact"/>
        <w:ind w:left="420"/>
        <w:rPr>
          <w:rFonts w:hint="eastAsia" w:ascii="仿宋_GB2312" w:hAnsi="黑体" w:eastAsia="仿宋_GB2312" w:cstheme="minorBidi"/>
          <w:sz w:val="28"/>
          <w:szCs w:val="28"/>
          <w:highlight w:val="none"/>
        </w:rPr>
      </w:pPr>
      <w:r>
        <w:rPr>
          <w:rFonts w:hint="eastAsia" w:ascii="仿宋_GB2312" w:hAnsi="黑体" w:eastAsia="仿宋_GB2312" w:cstheme="minorBidi"/>
          <w:sz w:val="28"/>
          <w:szCs w:val="28"/>
          <w:highlight w:val="none"/>
        </w:rPr>
        <w:t>1、</w:t>
      </w:r>
      <w:r>
        <w:rPr>
          <w:rFonts w:hint="eastAsia" w:ascii="仿宋_GB2312" w:hAnsi="黑体" w:eastAsia="仿宋_GB2312" w:cstheme="minorBidi"/>
          <w:sz w:val="28"/>
          <w:szCs w:val="28"/>
          <w:highlight w:val="none"/>
          <w:lang w:eastAsia="zh-CN"/>
        </w:rPr>
        <w:t>供应商</w:t>
      </w:r>
      <w:r>
        <w:rPr>
          <w:rFonts w:hint="eastAsia" w:ascii="仿宋_GB2312" w:hAnsi="黑体" w:eastAsia="仿宋_GB2312" w:cstheme="minorBidi"/>
          <w:sz w:val="28"/>
          <w:szCs w:val="28"/>
          <w:highlight w:val="none"/>
        </w:rPr>
        <w:t>负责驾驶员的教育管理，并督促其严格遵守交通法规，确保无重大交通事故，避免一般事故。</w:t>
      </w:r>
    </w:p>
    <w:p w14:paraId="008F9768">
      <w:pPr>
        <w:pStyle w:val="18"/>
        <w:widowControl/>
        <w:spacing w:line="600" w:lineRule="exact"/>
        <w:ind w:left="420"/>
        <w:rPr>
          <w:rFonts w:hint="eastAsia" w:ascii="仿宋_GB2312" w:hAnsi="黑体" w:eastAsia="仿宋_GB2312" w:cstheme="minorBidi"/>
          <w:sz w:val="28"/>
          <w:szCs w:val="28"/>
          <w:highlight w:val="none"/>
        </w:rPr>
      </w:pPr>
      <w:r>
        <w:rPr>
          <w:rFonts w:hint="eastAsia" w:ascii="仿宋_GB2312" w:hAnsi="黑体" w:eastAsia="仿宋_GB2312" w:cstheme="minorBidi"/>
          <w:sz w:val="28"/>
          <w:szCs w:val="28"/>
          <w:highlight w:val="none"/>
        </w:rPr>
        <w:t>2、</w:t>
      </w:r>
      <w:r>
        <w:rPr>
          <w:rFonts w:hint="eastAsia" w:ascii="仿宋_GB2312" w:hAnsi="黑体" w:eastAsia="仿宋_GB2312" w:cstheme="minorBidi"/>
          <w:sz w:val="28"/>
          <w:szCs w:val="28"/>
          <w:highlight w:val="none"/>
          <w:lang w:eastAsia="zh-CN"/>
        </w:rPr>
        <w:t>供应商</w:t>
      </w:r>
      <w:r>
        <w:rPr>
          <w:rFonts w:hint="eastAsia" w:ascii="仿宋_GB2312" w:hAnsi="黑体" w:eastAsia="仿宋_GB2312" w:cstheme="minorBidi"/>
          <w:sz w:val="28"/>
          <w:szCs w:val="28"/>
          <w:highlight w:val="none"/>
        </w:rPr>
        <w:t>提供方便、及时和舒适的人性化服务。</w:t>
      </w:r>
    </w:p>
    <w:p w14:paraId="12BA581A">
      <w:pPr>
        <w:pStyle w:val="18"/>
        <w:widowControl/>
        <w:spacing w:line="600" w:lineRule="exact"/>
        <w:ind w:left="420"/>
        <w:rPr>
          <w:rFonts w:hint="eastAsia" w:ascii="仿宋_GB2312" w:hAnsi="黑体" w:eastAsia="仿宋_GB2312" w:cstheme="minorBidi"/>
          <w:b w:val="0"/>
          <w:bCs w:val="0"/>
          <w:sz w:val="28"/>
          <w:szCs w:val="28"/>
          <w:highlight w:val="none"/>
        </w:rPr>
      </w:pPr>
      <w:r>
        <w:rPr>
          <w:rFonts w:hint="eastAsia" w:ascii="仿宋_GB2312" w:hAnsi="黑体" w:eastAsia="仿宋_GB2312" w:cstheme="minorBidi"/>
          <w:b w:val="0"/>
          <w:bCs w:val="0"/>
          <w:sz w:val="28"/>
          <w:szCs w:val="28"/>
          <w:highlight w:val="none"/>
        </w:rPr>
        <w:t>3、</w:t>
      </w:r>
      <w:r>
        <w:rPr>
          <w:rFonts w:hint="eastAsia" w:ascii="仿宋_GB2312" w:hAnsi="黑体" w:eastAsia="仿宋_GB2312" w:cstheme="minorBidi"/>
          <w:b w:val="0"/>
          <w:bCs w:val="0"/>
          <w:sz w:val="28"/>
          <w:szCs w:val="28"/>
          <w:highlight w:val="none"/>
          <w:lang w:eastAsia="zh-CN"/>
        </w:rPr>
        <w:t>供应商</w:t>
      </w:r>
      <w:r>
        <w:rPr>
          <w:rFonts w:hint="eastAsia" w:ascii="仿宋_GB2312" w:hAnsi="黑体" w:eastAsia="仿宋_GB2312" w:cstheme="minorBidi"/>
          <w:b w:val="0"/>
          <w:bCs w:val="0"/>
          <w:sz w:val="28"/>
          <w:szCs w:val="28"/>
          <w:highlight w:val="none"/>
        </w:rPr>
        <w:t>提供完善的管理制度及突发事件应急预案。</w:t>
      </w:r>
    </w:p>
    <w:p w14:paraId="6EA915B1">
      <w:pPr>
        <w:pStyle w:val="18"/>
        <w:widowControl/>
        <w:spacing w:line="600" w:lineRule="exact"/>
        <w:ind w:left="420"/>
        <w:rPr>
          <w:rFonts w:hint="eastAsia" w:ascii="仿宋_GB2312" w:hAnsi="黑体" w:eastAsia="仿宋_GB2312" w:cstheme="minorBidi"/>
          <w:sz w:val="28"/>
          <w:szCs w:val="28"/>
          <w:highlight w:val="none"/>
          <w:lang w:val="en-US" w:eastAsia="zh-CN"/>
        </w:rPr>
      </w:pPr>
      <w:r>
        <w:rPr>
          <w:rFonts w:hint="eastAsia" w:ascii="仿宋_GB2312" w:hAnsi="黑体" w:eastAsia="仿宋_GB2312" w:cstheme="minorBidi"/>
          <w:sz w:val="28"/>
          <w:szCs w:val="28"/>
          <w:highlight w:val="none"/>
          <w:lang w:val="en-US" w:eastAsia="zh-CN"/>
        </w:rPr>
        <w:t>4、</w:t>
      </w:r>
      <w:r>
        <w:rPr>
          <w:rFonts w:hint="eastAsia" w:ascii="仿宋_GB2312" w:hAnsi="黑体" w:eastAsia="仿宋_GB2312" w:cstheme="minorBidi"/>
          <w:b w:val="0"/>
          <w:bCs w:val="0"/>
          <w:sz w:val="28"/>
          <w:szCs w:val="28"/>
          <w:highlight w:val="none"/>
          <w:lang w:eastAsia="zh-CN"/>
        </w:rPr>
        <w:t>供应商</w:t>
      </w:r>
      <w:r>
        <w:rPr>
          <w:rFonts w:hint="eastAsia" w:ascii="仿宋_GB2312" w:hAnsi="黑体" w:eastAsia="仿宋_GB2312" w:cstheme="minorBidi"/>
          <w:b w:val="0"/>
          <w:bCs w:val="0"/>
          <w:sz w:val="28"/>
          <w:szCs w:val="28"/>
          <w:highlight w:val="none"/>
        </w:rPr>
        <w:t>提供</w:t>
      </w:r>
      <w:r>
        <w:rPr>
          <w:rFonts w:hint="eastAsia" w:ascii="仿宋_GB2312" w:hAnsi="黑体" w:eastAsia="仿宋_GB2312" w:cstheme="minorBidi"/>
          <w:b w:val="0"/>
          <w:bCs w:val="0"/>
          <w:sz w:val="28"/>
          <w:szCs w:val="28"/>
          <w:highlight w:val="none"/>
          <w:lang w:eastAsia="zh-CN"/>
        </w:rPr>
        <w:t>为该</w:t>
      </w:r>
      <w:r>
        <w:rPr>
          <w:rFonts w:hint="eastAsia" w:ascii="仿宋_GB2312" w:hAnsi="黑体" w:eastAsia="仿宋_GB2312" w:cstheme="minorBidi"/>
          <w:sz w:val="28"/>
          <w:szCs w:val="28"/>
          <w:highlight w:val="none"/>
          <w:lang w:val="en-US" w:eastAsia="zh-CN"/>
        </w:rPr>
        <w:t>驾驶员缴纳近1年五险一金的证明材料。</w:t>
      </w:r>
    </w:p>
    <w:p w14:paraId="0EDF13C8">
      <w:pPr>
        <w:pStyle w:val="18"/>
        <w:widowControl/>
        <w:spacing w:line="600" w:lineRule="exact"/>
        <w:ind w:left="420"/>
        <w:rPr>
          <w:rFonts w:hint="default" w:ascii="仿宋_GB2312" w:hAnsi="黑体" w:eastAsia="仿宋_GB2312" w:cstheme="minorBidi"/>
          <w:sz w:val="28"/>
          <w:szCs w:val="28"/>
          <w:highlight w:val="none"/>
        </w:rPr>
      </w:pPr>
      <w:r>
        <w:rPr>
          <w:rFonts w:hint="eastAsia" w:ascii="仿宋_GB2312" w:hAnsi="黑体" w:eastAsia="仿宋_GB2312" w:cstheme="minorBidi"/>
          <w:sz w:val="28"/>
          <w:szCs w:val="28"/>
          <w:highlight w:val="none"/>
          <w:lang w:val="en-US" w:eastAsia="zh-CN"/>
        </w:rPr>
        <w:t>5、驾驶员无法履行职责时，供应商应第一时间调配其他符合条件的驾驶员顶班，确保不耽误采购人正常用车，相关费用由供应商承担。</w:t>
      </w:r>
    </w:p>
    <w:p w14:paraId="6E715F82">
      <w:pPr>
        <w:pStyle w:val="18"/>
        <w:widowControl/>
        <w:spacing w:line="600" w:lineRule="exact"/>
        <w:ind w:left="420"/>
        <w:rPr>
          <w:rFonts w:hint="eastAsia" w:ascii="黑体" w:hAnsi="黑体" w:eastAsia="黑体" w:cs="黑体"/>
          <w:b w:val="0"/>
          <w:sz w:val="28"/>
          <w:szCs w:val="28"/>
          <w:highlight w:val="none"/>
        </w:rPr>
      </w:pPr>
      <w:r>
        <w:rPr>
          <w:rFonts w:hint="eastAsia" w:ascii="黑体" w:hAnsi="黑体" w:eastAsia="黑体" w:cs="黑体"/>
          <w:b w:val="0"/>
          <w:sz w:val="28"/>
          <w:szCs w:val="28"/>
          <w:highlight w:val="none"/>
          <w:lang w:eastAsia="zh-CN"/>
        </w:rPr>
        <w:t>三</w:t>
      </w:r>
      <w:r>
        <w:rPr>
          <w:rFonts w:hint="eastAsia" w:ascii="黑体" w:hAnsi="黑体" w:eastAsia="黑体" w:cs="黑体"/>
          <w:b w:val="0"/>
          <w:sz w:val="28"/>
          <w:szCs w:val="28"/>
          <w:highlight w:val="none"/>
        </w:rPr>
        <w:t>、</w:t>
      </w:r>
      <w:r>
        <w:rPr>
          <w:rFonts w:hint="eastAsia" w:ascii="黑体" w:hAnsi="黑体" w:eastAsia="黑体" w:cs="黑体"/>
          <w:b w:val="0"/>
          <w:sz w:val="28"/>
          <w:szCs w:val="28"/>
          <w:highlight w:val="none"/>
          <w:lang w:eastAsia="zh-CN"/>
        </w:rPr>
        <w:t>费用</w:t>
      </w:r>
      <w:r>
        <w:rPr>
          <w:rFonts w:hint="eastAsia" w:ascii="黑体" w:hAnsi="黑体" w:eastAsia="黑体" w:cs="黑体"/>
          <w:b w:val="0"/>
          <w:sz w:val="28"/>
          <w:szCs w:val="28"/>
          <w:highlight w:val="none"/>
        </w:rPr>
        <w:t>结算及支付</w:t>
      </w:r>
    </w:p>
    <w:p w14:paraId="54823C36">
      <w:pPr>
        <w:pStyle w:val="18"/>
        <w:widowControl/>
        <w:spacing w:line="600" w:lineRule="exact"/>
        <w:ind w:left="420"/>
        <w:rPr>
          <w:rFonts w:hint="eastAsia" w:ascii="仿宋_GB2312" w:hAnsi="黑体" w:eastAsia="仿宋_GB2312" w:cstheme="minorBidi"/>
          <w:sz w:val="28"/>
          <w:szCs w:val="28"/>
          <w:highlight w:val="none"/>
          <w:lang w:eastAsia="zh-CN"/>
        </w:rPr>
      </w:pPr>
      <w:r>
        <w:rPr>
          <w:rFonts w:hint="eastAsia" w:ascii="仿宋_GB2312" w:hAnsi="黑体" w:eastAsia="仿宋_GB2312" w:cstheme="minorBidi"/>
          <w:sz w:val="28"/>
          <w:szCs w:val="28"/>
          <w:highlight w:val="none"/>
          <w:lang w:val="en-US" w:eastAsia="zh-CN"/>
        </w:rPr>
        <w:t>1、采购人按月向供应商支付驾驶员租赁服务费用，可自行根据考核情况向供应商支付</w:t>
      </w:r>
      <w:r>
        <w:rPr>
          <w:rFonts w:hint="eastAsia" w:ascii="仿宋_GB2312" w:hAnsi="黑体" w:eastAsia="仿宋_GB2312" w:cstheme="minorBidi"/>
          <w:sz w:val="28"/>
          <w:szCs w:val="28"/>
          <w:highlight w:val="none"/>
          <w:lang w:val="en-US" w:eastAsia="zh-CN"/>
        </w:rPr>
        <w:t>驾驶员奖金。</w:t>
      </w:r>
    </w:p>
    <w:p w14:paraId="4F55DB31">
      <w:pPr>
        <w:pStyle w:val="18"/>
        <w:widowControl/>
        <w:spacing w:line="600" w:lineRule="exact"/>
        <w:ind w:left="420"/>
        <w:outlineLvl w:val="0"/>
        <w:rPr>
          <w:rFonts w:hint="eastAsia" w:ascii="仿宋_GB2312" w:hAnsi="黑体" w:eastAsia="仿宋_GB2312" w:cstheme="minorBidi"/>
          <w:sz w:val="28"/>
          <w:szCs w:val="28"/>
          <w:highlight w:val="none"/>
          <w:lang w:val="en-US" w:eastAsia="zh-CN"/>
        </w:rPr>
      </w:pPr>
      <w:r>
        <w:rPr>
          <w:rFonts w:hint="eastAsia" w:ascii="仿宋_GB2312" w:hAnsi="黑体" w:eastAsia="仿宋_GB2312" w:cstheme="minorBidi"/>
          <w:sz w:val="28"/>
          <w:szCs w:val="28"/>
          <w:highlight w:val="none"/>
          <w:lang w:val="en-US" w:eastAsia="zh-CN"/>
        </w:rPr>
        <w:t>2、供应商负责发放驾驶员的每月工资、五险一金或奖金等。</w:t>
      </w:r>
    </w:p>
    <w:p w14:paraId="2F946C84">
      <w:pPr>
        <w:pStyle w:val="18"/>
        <w:widowControl/>
        <w:spacing w:line="600" w:lineRule="exact"/>
        <w:ind w:left="420"/>
        <w:outlineLvl w:val="0"/>
        <w:rPr>
          <w:rFonts w:hint="eastAsia" w:ascii="仿宋_GB2312" w:hAnsi="黑体" w:eastAsia="仿宋_GB2312" w:cstheme="minorBidi"/>
          <w:sz w:val="28"/>
          <w:szCs w:val="28"/>
          <w:highlight w:val="none"/>
        </w:rPr>
      </w:pPr>
      <w:r>
        <w:rPr>
          <w:rFonts w:hint="eastAsia" w:ascii="仿宋_GB2312" w:hAnsi="黑体" w:eastAsia="仿宋_GB2312" w:cstheme="minorBidi"/>
          <w:sz w:val="28"/>
          <w:szCs w:val="28"/>
          <w:highlight w:val="none"/>
          <w:lang w:val="en-US" w:eastAsia="zh-CN"/>
        </w:rPr>
        <w:t>3、</w:t>
      </w:r>
      <w:r>
        <w:rPr>
          <w:rFonts w:hint="eastAsia" w:ascii="仿宋_GB2312" w:hAnsi="黑体" w:eastAsia="仿宋_GB2312" w:cstheme="minorBidi"/>
          <w:sz w:val="28"/>
          <w:szCs w:val="28"/>
          <w:highlight w:val="none"/>
          <w:lang w:eastAsia="zh-CN"/>
        </w:rPr>
        <w:t>采购人有权提前解约，不承担违约责任，并</w:t>
      </w:r>
      <w:r>
        <w:rPr>
          <w:rFonts w:hint="eastAsia" w:ascii="仿宋_GB2312" w:hAnsi="黑体" w:eastAsia="仿宋_GB2312" w:cstheme="minorBidi"/>
          <w:sz w:val="28"/>
          <w:szCs w:val="28"/>
          <w:highlight w:val="none"/>
        </w:rPr>
        <w:t>按实际</w:t>
      </w:r>
      <w:r>
        <w:rPr>
          <w:rFonts w:hint="eastAsia" w:ascii="仿宋_GB2312" w:hAnsi="黑体" w:eastAsia="仿宋_GB2312" w:cstheme="minorBidi"/>
          <w:sz w:val="28"/>
          <w:szCs w:val="28"/>
          <w:highlight w:val="none"/>
          <w:lang w:eastAsia="zh-CN"/>
        </w:rPr>
        <w:t>服务</w:t>
      </w:r>
      <w:r>
        <w:rPr>
          <w:rFonts w:hint="eastAsia" w:ascii="仿宋_GB2312" w:hAnsi="黑体" w:eastAsia="仿宋_GB2312" w:cstheme="minorBidi"/>
          <w:sz w:val="28"/>
          <w:szCs w:val="28"/>
          <w:highlight w:val="none"/>
        </w:rPr>
        <w:t>天数结算</w:t>
      </w:r>
      <w:r>
        <w:rPr>
          <w:rFonts w:hint="eastAsia" w:ascii="仿宋_GB2312" w:hAnsi="黑体" w:eastAsia="仿宋_GB2312" w:cstheme="minorBidi"/>
          <w:sz w:val="28"/>
          <w:szCs w:val="28"/>
          <w:highlight w:val="none"/>
          <w:lang w:eastAsia="zh-CN"/>
        </w:rPr>
        <w:t>租赁服务费用</w:t>
      </w:r>
      <w:r>
        <w:rPr>
          <w:rFonts w:hint="eastAsia" w:ascii="仿宋_GB2312" w:hAnsi="黑体" w:eastAsia="仿宋_GB2312" w:cstheme="minorBidi"/>
          <w:sz w:val="28"/>
          <w:szCs w:val="28"/>
          <w:highlight w:val="none"/>
        </w:rPr>
        <w:t>。</w:t>
      </w:r>
    </w:p>
    <w:p w14:paraId="68BCDA83">
      <w:pPr>
        <w:adjustRightInd w:val="0"/>
        <w:snapToGrid w:val="0"/>
        <w:spacing w:line="360" w:lineRule="auto"/>
        <w:rPr>
          <w:rFonts w:hint="eastAsia" w:ascii="仿宋" w:hAnsi="仿宋" w:eastAsia="仿宋" w:cs="仿宋"/>
          <w:b w:val="0"/>
          <w:bCs/>
          <w:sz w:val="28"/>
          <w:szCs w:val="28"/>
          <w:highlight w:val="none"/>
          <w:lang w:eastAsia="zh-CN"/>
        </w:rPr>
      </w:pPr>
    </w:p>
    <w:p w14:paraId="691CC978">
      <w:pPr>
        <w:pStyle w:val="18"/>
        <w:widowControl/>
        <w:numPr>
          <w:ilvl w:val="0"/>
          <w:numId w:val="1"/>
        </w:numPr>
        <w:ind w:firstLineChars="0"/>
        <w:jc w:val="center"/>
        <w:outlineLvl w:val="0"/>
        <w:rPr>
          <w:rFonts w:ascii="仿宋_GB2312" w:hAnsi="黑体" w:eastAsia="仿宋_GB2312"/>
          <w:b/>
          <w:sz w:val="28"/>
          <w:szCs w:val="28"/>
          <w:highlight w:val="none"/>
        </w:rPr>
      </w:pPr>
      <w:bookmarkStart w:id="7" w:name="_Toc23559"/>
      <w:r>
        <w:rPr>
          <w:rFonts w:hint="eastAsia" w:ascii="仿宋_GB2312" w:hAnsi="黑体" w:eastAsia="仿宋_GB2312"/>
          <w:b/>
          <w:sz w:val="28"/>
          <w:szCs w:val="28"/>
          <w:highlight w:val="none"/>
        </w:rPr>
        <w:t>供应商须知</w:t>
      </w:r>
      <w:bookmarkEnd w:id="7"/>
    </w:p>
    <w:p w14:paraId="470B55C0">
      <w:pPr>
        <w:pStyle w:val="18"/>
        <w:widowControl/>
        <w:numPr>
          <w:ilvl w:val="0"/>
          <w:numId w:val="0"/>
        </w:numPr>
        <w:ind w:leftChars="0"/>
        <w:jc w:val="both"/>
        <w:outlineLvl w:val="0"/>
        <w:rPr>
          <w:rFonts w:ascii="仿宋_GB2312" w:hAnsi="黑体" w:eastAsia="仿宋_GB2312"/>
          <w:b/>
          <w:sz w:val="28"/>
          <w:szCs w:val="28"/>
          <w:highlight w:val="none"/>
        </w:rPr>
      </w:pPr>
    </w:p>
    <w:p w14:paraId="17EC6CD0">
      <w:pPr>
        <w:pStyle w:val="18"/>
        <w:keepNext w:val="0"/>
        <w:keepLines w:val="0"/>
        <w:pageBreakBefore w:val="0"/>
        <w:widowControl/>
        <w:numPr>
          <w:ilvl w:val="0"/>
          <w:numId w:val="5"/>
        </w:numPr>
        <w:kinsoku/>
        <w:wordWrap/>
        <w:overflowPunct/>
        <w:topLinePunct w:val="0"/>
        <w:autoSpaceDE/>
        <w:autoSpaceDN/>
        <w:bidi w:val="0"/>
        <w:adjustRightInd/>
        <w:snapToGrid/>
        <w:ind w:left="0" w:firstLine="562" w:firstLineChars="200"/>
        <w:textAlignment w:val="auto"/>
        <w:outlineLvl w:val="1"/>
        <w:rPr>
          <w:rFonts w:hint="eastAsia" w:ascii="仿宋_GB2312" w:hAnsi="黑体" w:eastAsia="仿宋_GB2312"/>
          <w:b/>
          <w:bCs/>
          <w:sz w:val="28"/>
          <w:szCs w:val="28"/>
          <w:highlight w:val="none"/>
        </w:rPr>
      </w:pPr>
      <w:bookmarkStart w:id="8" w:name="_Toc6109"/>
      <w:r>
        <w:rPr>
          <w:rFonts w:hint="eastAsia" w:ascii="仿宋_GB2312" w:hAnsi="黑体" w:eastAsia="仿宋_GB2312"/>
          <w:b/>
          <w:bCs/>
          <w:sz w:val="28"/>
          <w:szCs w:val="28"/>
          <w:highlight w:val="none"/>
        </w:rPr>
        <w:t>供应商资格</w:t>
      </w:r>
      <w:bookmarkEnd w:id="8"/>
    </w:p>
    <w:p w14:paraId="7EF82EEC">
      <w:pPr>
        <w:pStyle w:val="18"/>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textAlignment w:val="auto"/>
        <w:rPr>
          <w:rFonts w:hint="eastAsia" w:ascii="仿宋_GB2312" w:hAnsi="黑体" w:eastAsia="仿宋_GB2312"/>
          <w:sz w:val="28"/>
          <w:szCs w:val="28"/>
          <w:highlight w:val="none"/>
        </w:rPr>
      </w:pPr>
      <w:r>
        <w:rPr>
          <w:rFonts w:hint="eastAsia" w:ascii="仿宋_GB2312" w:hAnsi="黑体" w:eastAsia="仿宋_GB2312"/>
          <w:sz w:val="28"/>
          <w:szCs w:val="28"/>
          <w:highlight w:val="none"/>
        </w:rPr>
        <w:t>1.提供符合满足《中华人民共和国政府采购法》第二十二条规定的承诺书；</w:t>
      </w:r>
    </w:p>
    <w:p w14:paraId="1E2F8962">
      <w:pPr>
        <w:pStyle w:val="18"/>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textAlignment w:val="auto"/>
        <w:rPr>
          <w:rFonts w:hint="eastAsia" w:ascii="仿宋_GB2312" w:hAnsi="黑体" w:eastAsia="仿宋_GB2312"/>
          <w:sz w:val="28"/>
          <w:szCs w:val="28"/>
          <w:highlight w:val="none"/>
        </w:rPr>
      </w:pPr>
      <w:r>
        <w:rPr>
          <w:rFonts w:hint="eastAsia" w:ascii="仿宋_GB2312" w:hAnsi="黑体" w:eastAsia="仿宋_GB2312"/>
          <w:sz w:val="28"/>
          <w:szCs w:val="28"/>
          <w:highlight w:val="none"/>
        </w:rPr>
        <w:t>2.参与的供应商应为有效登记注册的独立企业法人，需提供有效营业执照；</w:t>
      </w:r>
    </w:p>
    <w:p w14:paraId="2F118676">
      <w:pPr>
        <w:pStyle w:val="18"/>
        <w:keepNext w:val="0"/>
        <w:keepLines w:val="0"/>
        <w:pageBreakBefore w:val="0"/>
        <w:widowControl/>
        <w:numPr>
          <w:ilvl w:val="0"/>
          <w:numId w:val="0"/>
        </w:numPr>
        <w:kinsoku/>
        <w:wordWrap/>
        <w:overflowPunct/>
        <w:topLinePunct w:val="0"/>
        <w:autoSpaceDE/>
        <w:autoSpaceDN/>
        <w:bidi w:val="0"/>
        <w:adjustRightInd/>
        <w:snapToGrid/>
        <w:spacing w:line="240" w:lineRule="auto"/>
        <w:ind w:left="0" w:firstLine="560" w:firstLineChars="200"/>
        <w:textAlignment w:val="auto"/>
        <w:rPr>
          <w:rFonts w:hint="eastAsia" w:ascii="仿宋_GB2312" w:hAnsi="黑体" w:eastAsia="仿宋_GB2312"/>
          <w:sz w:val="28"/>
          <w:szCs w:val="28"/>
          <w:highlight w:val="none"/>
        </w:rPr>
      </w:pPr>
      <w:r>
        <w:rPr>
          <w:rFonts w:hint="eastAsia" w:ascii="仿宋_GB2312" w:hAnsi="黑体" w:eastAsia="仿宋_GB2312"/>
          <w:sz w:val="28"/>
          <w:szCs w:val="28"/>
          <w:highlight w:val="none"/>
        </w:rPr>
        <w:t>3.在经营活动中没有违法记录的声明，未被列入“信用中国”网站的失信被执行人名单（查询对象为企业、法定代表人）、“信用中国”网站的重大税收违法失信主体（查询对象为企业）、“中国政府采购网”网站的政府采购严重违法失信行为记录名单，“中国裁判文书网”搜索公司名称加行贿关键词后未记载任何行贿记录。</w:t>
      </w:r>
    </w:p>
    <w:p w14:paraId="47C4A608">
      <w:pPr>
        <w:pStyle w:val="18"/>
        <w:keepNext w:val="0"/>
        <w:keepLines w:val="0"/>
        <w:pageBreakBefore w:val="0"/>
        <w:widowControl/>
        <w:numPr>
          <w:ilvl w:val="0"/>
          <w:numId w:val="5"/>
        </w:numPr>
        <w:kinsoku/>
        <w:wordWrap/>
        <w:overflowPunct/>
        <w:topLinePunct w:val="0"/>
        <w:autoSpaceDE/>
        <w:autoSpaceDN/>
        <w:bidi w:val="0"/>
        <w:adjustRightInd/>
        <w:snapToGrid/>
        <w:ind w:left="0" w:firstLine="562" w:firstLineChars="200"/>
        <w:textAlignment w:val="auto"/>
        <w:outlineLvl w:val="1"/>
        <w:rPr>
          <w:rFonts w:ascii="仿宋_GB2312" w:hAnsi="黑体" w:eastAsia="仿宋_GB2312"/>
          <w:b/>
          <w:bCs/>
          <w:sz w:val="28"/>
          <w:szCs w:val="28"/>
          <w:highlight w:val="none"/>
        </w:rPr>
      </w:pPr>
      <w:bookmarkStart w:id="9" w:name="_Toc25018"/>
      <w:r>
        <w:rPr>
          <w:rFonts w:hint="eastAsia" w:ascii="仿宋_GB2312" w:hAnsi="黑体" w:eastAsia="仿宋_GB2312"/>
          <w:b/>
          <w:bCs/>
          <w:sz w:val="28"/>
          <w:szCs w:val="28"/>
          <w:highlight w:val="none"/>
        </w:rPr>
        <w:t>响应文件</w:t>
      </w:r>
      <w:bookmarkEnd w:id="9"/>
    </w:p>
    <w:p w14:paraId="6AE3D597">
      <w:pPr>
        <w:pStyle w:val="18"/>
        <w:keepNext w:val="0"/>
        <w:keepLines w:val="0"/>
        <w:pageBreakBefore w:val="0"/>
        <w:widowControl/>
        <w:numPr>
          <w:ilvl w:val="0"/>
          <w:numId w:val="0"/>
        </w:numPr>
        <w:kinsoku/>
        <w:wordWrap/>
        <w:overflowPunct/>
        <w:topLinePunct w:val="0"/>
        <w:autoSpaceDE/>
        <w:autoSpaceDN/>
        <w:bidi w:val="0"/>
        <w:adjustRightInd/>
        <w:snapToGrid/>
        <w:ind w:left="0" w:leftChars="0" w:firstLine="560" w:firstLineChars="200"/>
        <w:textAlignment w:val="auto"/>
        <w:rPr>
          <w:rFonts w:ascii="仿宋_GB2312" w:hAnsi="黑体" w:eastAsia="仿宋_GB2312"/>
          <w:sz w:val="28"/>
          <w:szCs w:val="28"/>
          <w:highlight w:val="none"/>
        </w:rPr>
      </w:pPr>
      <w:r>
        <w:rPr>
          <w:rFonts w:hint="eastAsia" w:ascii="仿宋_GB2312" w:hAnsi="黑体" w:eastAsia="仿宋_GB2312"/>
          <w:sz w:val="28"/>
          <w:szCs w:val="28"/>
          <w:highlight w:val="none"/>
          <w:lang w:eastAsia="zh-CN"/>
        </w:rPr>
        <w:t>（</w:t>
      </w:r>
      <w:r>
        <w:rPr>
          <w:rFonts w:hint="eastAsia" w:ascii="仿宋_GB2312" w:hAnsi="黑体" w:eastAsia="仿宋_GB2312"/>
          <w:sz w:val="28"/>
          <w:szCs w:val="28"/>
          <w:highlight w:val="none"/>
          <w:lang w:val="en-US" w:eastAsia="zh-CN"/>
        </w:rPr>
        <w:t>一</w:t>
      </w:r>
      <w:r>
        <w:rPr>
          <w:rFonts w:hint="eastAsia" w:ascii="仿宋_GB2312" w:hAnsi="黑体" w:eastAsia="仿宋_GB2312"/>
          <w:sz w:val="28"/>
          <w:szCs w:val="28"/>
          <w:highlight w:val="none"/>
          <w:lang w:eastAsia="zh-CN"/>
        </w:rPr>
        <w:t>）响应人</w:t>
      </w:r>
      <w:r>
        <w:rPr>
          <w:rFonts w:hint="eastAsia" w:ascii="仿宋_GB2312" w:hAnsi="黑体" w:eastAsia="仿宋_GB2312"/>
          <w:sz w:val="28"/>
          <w:szCs w:val="28"/>
          <w:highlight w:val="none"/>
        </w:rPr>
        <w:t>需根据本文件第二章《采购内容及要求》进行全面响应。</w:t>
      </w:r>
    </w:p>
    <w:p w14:paraId="1801F8F8">
      <w:pPr>
        <w:pStyle w:val="18"/>
        <w:keepNext w:val="0"/>
        <w:keepLines w:val="0"/>
        <w:pageBreakBefore w:val="0"/>
        <w:widowControl/>
        <w:numPr>
          <w:ilvl w:val="0"/>
          <w:numId w:val="0"/>
        </w:numPr>
        <w:kinsoku/>
        <w:wordWrap/>
        <w:overflowPunct/>
        <w:topLinePunct w:val="0"/>
        <w:autoSpaceDE/>
        <w:autoSpaceDN/>
        <w:bidi w:val="0"/>
        <w:adjustRightInd/>
        <w:snapToGrid/>
        <w:spacing w:line="600" w:lineRule="exact"/>
        <w:ind w:left="0" w:leftChars="0" w:firstLine="560" w:firstLineChars="200"/>
        <w:textAlignment w:val="auto"/>
        <w:rPr>
          <w:rFonts w:ascii="仿宋_GB2312" w:hAnsi="黑体" w:eastAsia="仿宋_GB2312"/>
          <w:sz w:val="28"/>
          <w:szCs w:val="28"/>
          <w:highlight w:val="none"/>
        </w:rPr>
      </w:pPr>
      <w:r>
        <w:rPr>
          <w:rFonts w:hint="eastAsia" w:ascii="仿宋_GB2312" w:hAnsi="黑体" w:eastAsia="仿宋_GB2312"/>
          <w:sz w:val="28"/>
          <w:szCs w:val="28"/>
          <w:highlight w:val="none"/>
          <w:lang w:eastAsia="zh-CN"/>
        </w:rPr>
        <w:t>（</w:t>
      </w:r>
      <w:r>
        <w:rPr>
          <w:rFonts w:hint="eastAsia" w:ascii="仿宋_GB2312" w:hAnsi="黑体" w:eastAsia="仿宋_GB2312"/>
          <w:sz w:val="28"/>
          <w:szCs w:val="28"/>
          <w:highlight w:val="none"/>
          <w:lang w:val="en-US" w:eastAsia="zh-CN"/>
        </w:rPr>
        <w:t>二</w:t>
      </w:r>
      <w:r>
        <w:rPr>
          <w:rFonts w:hint="eastAsia" w:ascii="仿宋_GB2312" w:hAnsi="黑体" w:eastAsia="仿宋_GB2312"/>
          <w:sz w:val="28"/>
          <w:szCs w:val="28"/>
          <w:highlight w:val="none"/>
          <w:lang w:eastAsia="zh-CN"/>
        </w:rPr>
        <w:t>）响应人</w:t>
      </w:r>
      <w:r>
        <w:rPr>
          <w:rFonts w:hint="eastAsia" w:ascii="仿宋_GB2312" w:hAnsi="黑体" w:eastAsia="仿宋_GB2312"/>
          <w:sz w:val="28"/>
          <w:szCs w:val="28"/>
          <w:highlight w:val="none"/>
        </w:rPr>
        <w:t>需根据本文件第四章《响应文件要求》准备响应文件。响应文件提交截止时间前，贵单位可对所提交的响应文件进行补充、修改或撤回。补充、修改的内容将作为响应文件的组成部分。</w:t>
      </w:r>
    </w:p>
    <w:p w14:paraId="0D1E3444">
      <w:pPr>
        <w:pStyle w:val="18"/>
        <w:widowControl/>
        <w:numPr>
          <w:numId w:val="0"/>
        </w:numPr>
        <w:spacing w:line="600" w:lineRule="exact"/>
        <w:ind w:leftChars="0" w:firstLine="562" w:firstLineChars="200"/>
        <w:outlineLvl w:val="1"/>
        <w:rPr>
          <w:rFonts w:ascii="仿宋_GB2312" w:hAnsi="黑体" w:eastAsia="仿宋_GB2312"/>
          <w:b/>
          <w:bCs/>
          <w:sz w:val="28"/>
          <w:szCs w:val="28"/>
          <w:highlight w:val="none"/>
        </w:rPr>
      </w:pPr>
      <w:bookmarkStart w:id="10" w:name="_Toc15794"/>
      <w:r>
        <w:rPr>
          <w:rFonts w:hint="eastAsia" w:ascii="仿宋_GB2312" w:hAnsi="黑体" w:eastAsia="仿宋_GB2312"/>
          <w:b/>
          <w:bCs/>
          <w:sz w:val="28"/>
          <w:szCs w:val="28"/>
          <w:highlight w:val="none"/>
          <w:lang w:eastAsia="zh-CN"/>
        </w:rPr>
        <w:t>三、</w:t>
      </w:r>
      <w:r>
        <w:rPr>
          <w:rFonts w:hint="eastAsia" w:ascii="仿宋_GB2312" w:hAnsi="黑体" w:eastAsia="仿宋_GB2312"/>
          <w:b/>
          <w:bCs/>
          <w:sz w:val="28"/>
          <w:szCs w:val="28"/>
          <w:highlight w:val="none"/>
        </w:rPr>
        <w:t>竞争性磋商</w:t>
      </w:r>
      <w:bookmarkEnd w:id="10"/>
    </w:p>
    <w:p w14:paraId="71E16DA4">
      <w:pPr>
        <w:pStyle w:val="18"/>
        <w:widowControl/>
        <w:numPr>
          <w:numId w:val="0"/>
        </w:numPr>
        <w:spacing w:line="600" w:lineRule="exact"/>
        <w:ind w:leftChars="0" w:firstLine="560" w:firstLineChars="200"/>
        <w:rPr>
          <w:rFonts w:ascii="仿宋_GB2312" w:hAnsi="黑体" w:eastAsia="仿宋_GB2312"/>
          <w:sz w:val="28"/>
          <w:szCs w:val="28"/>
          <w:highlight w:val="none"/>
        </w:rPr>
      </w:pPr>
      <w:r>
        <w:rPr>
          <w:rFonts w:hint="eastAsia" w:ascii="仿宋_GB2312" w:hAnsi="黑体" w:eastAsia="仿宋_GB2312"/>
          <w:sz w:val="28"/>
          <w:szCs w:val="28"/>
          <w:highlight w:val="none"/>
          <w:lang w:eastAsia="zh-CN"/>
        </w:rPr>
        <w:t>（一）</w:t>
      </w:r>
      <w:r>
        <w:rPr>
          <w:rFonts w:hint="eastAsia" w:ascii="仿宋_GB2312" w:hAnsi="黑体" w:eastAsia="仿宋_GB2312"/>
          <w:sz w:val="28"/>
          <w:szCs w:val="28"/>
          <w:highlight w:val="none"/>
        </w:rPr>
        <w:t>会议组织</w:t>
      </w:r>
    </w:p>
    <w:p w14:paraId="10CCF396">
      <w:pPr>
        <w:pStyle w:val="18"/>
        <w:widowControl/>
        <w:spacing w:line="600" w:lineRule="exact"/>
        <w:ind w:firstLine="560"/>
        <w:rPr>
          <w:rFonts w:ascii="仿宋_GB2312" w:hAnsi="黑体" w:eastAsia="仿宋_GB2312"/>
          <w:sz w:val="28"/>
          <w:szCs w:val="28"/>
          <w:highlight w:val="none"/>
        </w:rPr>
      </w:pPr>
      <w:r>
        <w:rPr>
          <w:rFonts w:hint="eastAsia" w:ascii="仿宋_GB2312" w:hAnsi="黑体" w:eastAsia="仿宋_GB2312"/>
          <w:sz w:val="28"/>
          <w:szCs w:val="28"/>
          <w:highlight w:val="none"/>
        </w:rPr>
        <w:t>采购人负责召开竞争性磋商会议、谈判及评审工作。供应商委派代表参加磋商会议，向采购人介绍服务方案并进行</w:t>
      </w:r>
      <w:r>
        <w:rPr>
          <w:rFonts w:hint="eastAsia" w:ascii="仿宋_GB2312" w:hAnsi="黑体" w:eastAsia="仿宋_GB2312"/>
          <w:sz w:val="28"/>
          <w:szCs w:val="28"/>
          <w:highlight w:val="none"/>
          <w:lang w:val="en-US" w:eastAsia="zh-CN"/>
        </w:rPr>
        <w:t>磋商</w:t>
      </w:r>
      <w:r>
        <w:rPr>
          <w:rFonts w:hint="eastAsia" w:ascii="仿宋_GB2312" w:hAnsi="黑体" w:eastAsia="仿宋_GB2312"/>
          <w:sz w:val="28"/>
          <w:szCs w:val="28"/>
          <w:highlight w:val="none"/>
        </w:rPr>
        <w:t>。</w:t>
      </w:r>
    </w:p>
    <w:p w14:paraId="61800249">
      <w:pPr>
        <w:pStyle w:val="18"/>
        <w:widowControl/>
        <w:numPr>
          <w:numId w:val="0"/>
        </w:numPr>
        <w:spacing w:line="600" w:lineRule="exact"/>
        <w:ind w:leftChars="0" w:firstLine="560" w:firstLineChars="200"/>
        <w:rPr>
          <w:rFonts w:ascii="仿宋_GB2312" w:hAnsi="黑体" w:eastAsia="仿宋_GB2312"/>
          <w:sz w:val="28"/>
          <w:szCs w:val="28"/>
          <w:highlight w:val="none"/>
        </w:rPr>
      </w:pPr>
      <w:r>
        <w:rPr>
          <w:rFonts w:hint="eastAsia" w:ascii="仿宋_GB2312" w:hAnsi="黑体" w:eastAsia="仿宋_GB2312"/>
          <w:sz w:val="28"/>
          <w:szCs w:val="28"/>
          <w:highlight w:val="none"/>
          <w:lang w:eastAsia="zh-CN"/>
        </w:rPr>
        <w:t>（二）</w:t>
      </w:r>
      <w:r>
        <w:rPr>
          <w:rFonts w:hint="eastAsia" w:ascii="仿宋_GB2312" w:hAnsi="黑体" w:eastAsia="仿宋_GB2312"/>
          <w:sz w:val="28"/>
          <w:szCs w:val="28"/>
          <w:highlight w:val="none"/>
        </w:rPr>
        <w:t>磋商原则</w:t>
      </w:r>
    </w:p>
    <w:p w14:paraId="6722C714">
      <w:pPr>
        <w:pStyle w:val="18"/>
        <w:widowControl/>
        <w:spacing w:line="600" w:lineRule="exact"/>
        <w:ind w:firstLine="560"/>
        <w:rPr>
          <w:rFonts w:ascii="仿宋_GB2312" w:hAnsi="黑体" w:eastAsia="仿宋_GB2312"/>
          <w:sz w:val="28"/>
          <w:szCs w:val="28"/>
          <w:highlight w:val="none"/>
        </w:rPr>
      </w:pPr>
      <w:r>
        <w:rPr>
          <w:rFonts w:hint="eastAsia" w:ascii="仿宋_GB2312" w:hAnsi="黑体" w:eastAsia="仿宋_GB2312"/>
          <w:sz w:val="28"/>
          <w:szCs w:val="28"/>
          <w:highlight w:val="none"/>
        </w:rPr>
        <w:t>采购人遵循公平、公正的原则进行磋商，采用同一程序和标准对供应商进行评估。</w:t>
      </w:r>
    </w:p>
    <w:p w14:paraId="036D8C6D">
      <w:pPr>
        <w:pStyle w:val="18"/>
        <w:widowControl/>
        <w:numPr>
          <w:numId w:val="0"/>
        </w:numPr>
        <w:spacing w:line="600" w:lineRule="exact"/>
        <w:ind w:leftChars="0" w:firstLine="560" w:firstLineChars="200"/>
        <w:rPr>
          <w:rFonts w:ascii="仿宋_GB2312" w:hAnsi="黑体" w:eastAsia="仿宋_GB2312"/>
          <w:sz w:val="28"/>
          <w:szCs w:val="28"/>
          <w:highlight w:val="none"/>
        </w:rPr>
      </w:pPr>
      <w:r>
        <w:rPr>
          <w:rFonts w:hint="eastAsia" w:ascii="仿宋_GB2312" w:hAnsi="黑体" w:eastAsia="仿宋_GB2312"/>
          <w:sz w:val="28"/>
          <w:szCs w:val="28"/>
          <w:highlight w:val="none"/>
          <w:lang w:eastAsia="zh-CN"/>
        </w:rPr>
        <w:t>（三）</w:t>
      </w:r>
      <w:r>
        <w:rPr>
          <w:rFonts w:hint="eastAsia" w:ascii="仿宋_GB2312" w:hAnsi="黑体" w:eastAsia="仿宋_GB2312"/>
          <w:sz w:val="28"/>
          <w:szCs w:val="28"/>
          <w:highlight w:val="none"/>
        </w:rPr>
        <w:t>评审方法</w:t>
      </w:r>
    </w:p>
    <w:p w14:paraId="62B64771">
      <w:pPr>
        <w:pStyle w:val="18"/>
        <w:widowControl/>
        <w:spacing w:line="600" w:lineRule="exact"/>
        <w:ind w:firstLine="560"/>
        <w:rPr>
          <w:rFonts w:hint="eastAsia" w:ascii="仿宋_GB2312" w:hAnsi="黑体" w:eastAsia="仿宋_GB2312"/>
          <w:sz w:val="28"/>
          <w:szCs w:val="28"/>
          <w:highlight w:val="none"/>
        </w:rPr>
      </w:pPr>
      <w:r>
        <w:rPr>
          <w:rFonts w:hint="eastAsia" w:ascii="仿宋_GB2312" w:hAnsi="黑体" w:eastAsia="仿宋_GB2312"/>
          <w:sz w:val="28"/>
          <w:szCs w:val="28"/>
          <w:highlight w:val="none"/>
        </w:rPr>
        <w:t>采购人采用</w:t>
      </w:r>
      <w:r>
        <w:rPr>
          <w:rFonts w:hint="eastAsia" w:ascii="仿宋_GB2312" w:hAnsi="黑体" w:eastAsia="仿宋_GB2312"/>
          <w:sz w:val="28"/>
          <w:szCs w:val="28"/>
          <w:highlight w:val="none"/>
          <w:lang w:val="en-US" w:eastAsia="zh-CN"/>
        </w:rPr>
        <w:t>以下评分表</w:t>
      </w:r>
      <w:r>
        <w:rPr>
          <w:rFonts w:hint="eastAsia" w:ascii="仿宋_GB2312" w:hAnsi="黑体" w:eastAsia="仿宋_GB2312"/>
          <w:sz w:val="28"/>
          <w:szCs w:val="28"/>
          <w:highlight w:val="none"/>
        </w:rPr>
        <w:t>对供应商进行评估打分。具体指标</w:t>
      </w:r>
      <w:r>
        <w:rPr>
          <w:rFonts w:hint="eastAsia" w:ascii="仿宋_GB2312" w:hAnsi="黑体" w:eastAsia="仿宋_GB2312"/>
          <w:sz w:val="28"/>
          <w:szCs w:val="28"/>
          <w:highlight w:val="none"/>
          <w:lang w:val="en-US" w:eastAsia="zh-CN"/>
        </w:rPr>
        <w:t>、分值和评分细则</w:t>
      </w:r>
      <w:r>
        <w:rPr>
          <w:rFonts w:hint="eastAsia" w:ascii="仿宋_GB2312" w:hAnsi="黑体" w:eastAsia="仿宋_GB2312"/>
          <w:sz w:val="28"/>
          <w:szCs w:val="28"/>
          <w:highlight w:val="none"/>
        </w:rPr>
        <w:t>如下：</w:t>
      </w:r>
    </w:p>
    <w:p w14:paraId="65D878E5">
      <w:pPr>
        <w:pStyle w:val="18"/>
        <w:widowControl/>
        <w:numPr>
          <w:ilvl w:val="0"/>
          <w:numId w:val="0"/>
        </w:numPr>
        <w:spacing w:line="600" w:lineRule="exact"/>
        <w:ind w:leftChars="0"/>
        <w:rPr>
          <w:rFonts w:ascii="仿宋_GB2312" w:hAnsi="黑体" w:eastAsia="仿宋_GB2312"/>
          <w:sz w:val="28"/>
          <w:szCs w:val="28"/>
          <w:highlight w:val="none"/>
        </w:rPr>
      </w:pPr>
    </w:p>
    <w:tbl>
      <w:tblPr>
        <w:tblStyle w:val="11"/>
        <w:tblW w:w="852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10"/>
        <w:gridCol w:w="1468"/>
        <w:gridCol w:w="5505"/>
        <w:gridCol w:w="939"/>
      </w:tblGrid>
      <w:tr w14:paraId="21D09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10" w:type="dxa"/>
            <w:vMerge w:val="restart"/>
            <w:tcBorders>
              <w:top w:val="single" w:color="000000" w:sz="8" w:space="0"/>
              <w:left w:val="single" w:color="000000" w:sz="8" w:space="0"/>
              <w:bottom w:val="single" w:color="000000" w:sz="8" w:space="0"/>
              <w:right w:val="single" w:color="000000" w:sz="8" w:space="0"/>
            </w:tcBorders>
            <w:noWrap w:val="0"/>
            <w:vAlign w:val="center"/>
          </w:tcPr>
          <w:p w14:paraId="28552A00">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1468" w:type="dxa"/>
            <w:vMerge w:val="restart"/>
            <w:tcBorders>
              <w:top w:val="single" w:color="000000" w:sz="8" w:space="0"/>
              <w:left w:val="nil"/>
              <w:bottom w:val="single" w:color="000000" w:sz="8" w:space="0"/>
              <w:right w:val="single" w:color="000000" w:sz="8" w:space="0"/>
            </w:tcBorders>
            <w:noWrap w:val="0"/>
            <w:vAlign w:val="center"/>
          </w:tcPr>
          <w:p w14:paraId="65F551F8">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评估要素</w:t>
            </w:r>
          </w:p>
        </w:tc>
        <w:tc>
          <w:tcPr>
            <w:tcW w:w="5505" w:type="dxa"/>
            <w:vMerge w:val="restart"/>
            <w:tcBorders>
              <w:top w:val="single" w:color="000000" w:sz="8" w:space="0"/>
              <w:left w:val="nil"/>
              <w:bottom w:val="single" w:color="000000" w:sz="8" w:space="0"/>
              <w:right w:val="single" w:color="000000" w:sz="8" w:space="0"/>
            </w:tcBorders>
            <w:noWrap w:val="0"/>
            <w:vAlign w:val="center"/>
          </w:tcPr>
          <w:p w14:paraId="71A0B956">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主要评估内容</w:t>
            </w:r>
          </w:p>
        </w:tc>
        <w:tc>
          <w:tcPr>
            <w:tcW w:w="939" w:type="dxa"/>
            <w:vMerge w:val="restart"/>
            <w:tcBorders>
              <w:top w:val="single" w:color="000000" w:sz="8" w:space="0"/>
              <w:left w:val="nil"/>
              <w:bottom w:val="single" w:color="000000" w:sz="8" w:space="0"/>
              <w:right w:val="single" w:color="000000" w:sz="8" w:space="0"/>
            </w:tcBorders>
            <w:noWrap w:val="0"/>
            <w:vAlign w:val="center"/>
          </w:tcPr>
          <w:p w14:paraId="322E8A94">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得分</w:t>
            </w:r>
          </w:p>
        </w:tc>
      </w:tr>
      <w:tr w14:paraId="57007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10" w:type="dxa"/>
            <w:vMerge w:val="continue"/>
            <w:tcBorders>
              <w:top w:val="single" w:color="000000" w:sz="8" w:space="0"/>
              <w:left w:val="single" w:color="000000" w:sz="8" w:space="0"/>
              <w:bottom w:val="single" w:color="000000" w:sz="8" w:space="0"/>
              <w:right w:val="single" w:color="000000" w:sz="8" w:space="0"/>
            </w:tcBorders>
            <w:noWrap w:val="0"/>
            <w:vAlign w:val="center"/>
          </w:tcPr>
          <w:p w14:paraId="0565F571">
            <w:pPr>
              <w:jc w:val="center"/>
              <w:rPr>
                <w:rFonts w:hint="eastAsia" w:ascii="宋体" w:hAnsi="宋体" w:eastAsia="宋体" w:cs="宋体"/>
                <w:b/>
                <w:i w:val="0"/>
                <w:color w:val="000000"/>
                <w:sz w:val="18"/>
                <w:szCs w:val="18"/>
                <w:u w:val="none"/>
              </w:rPr>
            </w:pPr>
          </w:p>
        </w:tc>
        <w:tc>
          <w:tcPr>
            <w:tcW w:w="1468" w:type="dxa"/>
            <w:vMerge w:val="continue"/>
            <w:tcBorders>
              <w:top w:val="single" w:color="000000" w:sz="8" w:space="0"/>
              <w:left w:val="nil"/>
              <w:bottom w:val="single" w:color="000000" w:sz="8" w:space="0"/>
              <w:right w:val="single" w:color="000000" w:sz="8" w:space="0"/>
            </w:tcBorders>
            <w:noWrap w:val="0"/>
            <w:vAlign w:val="center"/>
          </w:tcPr>
          <w:p w14:paraId="4657E42B">
            <w:pPr>
              <w:jc w:val="center"/>
              <w:rPr>
                <w:rFonts w:hint="eastAsia" w:ascii="宋体" w:hAnsi="宋体" w:eastAsia="宋体" w:cs="宋体"/>
                <w:b/>
                <w:i w:val="0"/>
                <w:color w:val="000000"/>
                <w:sz w:val="18"/>
                <w:szCs w:val="18"/>
                <w:u w:val="none"/>
              </w:rPr>
            </w:pPr>
          </w:p>
        </w:tc>
        <w:tc>
          <w:tcPr>
            <w:tcW w:w="5505" w:type="dxa"/>
            <w:vMerge w:val="continue"/>
            <w:tcBorders>
              <w:top w:val="single" w:color="000000" w:sz="8" w:space="0"/>
              <w:left w:val="nil"/>
              <w:bottom w:val="single" w:color="000000" w:sz="8" w:space="0"/>
              <w:right w:val="single" w:color="000000" w:sz="8" w:space="0"/>
            </w:tcBorders>
            <w:noWrap w:val="0"/>
            <w:vAlign w:val="center"/>
          </w:tcPr>
          <w:p w14:paraId="28F0EDA5">
            <w:pPr>
              <w:jc w:val="center"/>
              <w:rPr>
                <w:rFonts w:hint="eastAsia" w:ascii="宋体" w:hAnsi="宋体" w:eastAsia="宋体" w:cs="宋体"/>
                <w:b/>
                <w:i w:val="0"/>
                <w:color w:val="000000"/>
                <w:sz w:val="18"/>
                <w:szCs w:val="18"/>
                <w:u w:val="none"/>
              </w:rPr>
            </w:pPr>
          </w:p>
        </w:tc>
        <w:tc>
          <w:tcPr>
            <w:tcW w:w="939" w:type="dxa"/>
            <w:vMerge w:val="continue"/>
            <w:tcBorders>
              <w:top w:val="single" w:color="000000" w:sz="8" w:space="0"/>
              <w:left w:val="nil"/>
              <w:bottom w:val="single" w:color="000000" w:sz="8" w:space="0"/>
              <w:right w:val="single" w:color="000000" w:sz="8" w:space="0"/>
            </w:tcBorders>
            <w:noWrap w:val="0"/>
            <w:vAlign w:val="center"/>
          </w:tcPr>
          <w:p w14:paraId="1D2DCDB1">
            <w:pPr>
              <w:jc w:val="center"/>
              <w:rPr>
                <w:rFonts w:hint="eastAsia" w:ascii="宋体" w:hAnsi="宋体" w:eastAsia="宋体" w:cs="宋体"/>
                <w:b/>
                <w:i w:val="0"/>
                <w:color w:val="000000"/>
                <w:sz w:val="18"/>
                <w:szCs w:val="18"/>
                <w:u w:val="none"/>
              </w:rPr>
            </w:pPr>
          </w:p>
        </w:tc>
      </w:tr>
      <w:tr w14:paraId="5ABA6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10" w:type="dxa"/>
            <w:vMerge w:val="continue"/>
            <w:tcBorders>
              <w:top w:val="single" w:color="000000" w:sz="8" w:space="0"/>
              <w:left w:val="single" w:color="000000" w:sz="8" w:space="0"/>
              <w:bottom w:val="single" w:color="000000" w:sz="8" w:space="0"/>
              <w:right w:val="single" w:color="000000" w:sz="8" w:space="0"/>
            </w:tcBorders>
            <w:noWrap w:val="0"/>
            <w:vAlign w:val="center"/>
          </w:tcPr>
          <w:p w14:paraId="6FF832BB">
            <w:pPr>
              <w:jc w:val="center"/>
              <w:rPr>
                <w:rFonts w:hint="eastAsia" w:ascii="宋体" w:hAnsi="宋体" w:eastAsia="宋体" w:cs="宋体"/>
                <w:b/>
                <w:i w:val="0"/>
                <w:color w:val="000000"/>
                <w:sz w:val="18"/>
                <w:szCs w:val="18"/>
                <w:u w:val="none"/>
              </w:rPr>
            </w:pPr>
          </w:p>
        </w:tc>
        <w:tc>
          <w:tcPr>
            <w:tcW w:w="1468" w:type="dxa"/>
            <w:vMerge w:val="continue"/>
            <w:tcBorders>
              <w:top w:val="single" w:color="000000" w:sz="8" w:space="0"/>
              <w:left w:val="nil"/>
              <w:bottom w:val="single" w:color="000000" w:sz="8" w:space="0"/>
              <w:right w:val="single" w:color="000000" w:sz="8" w:space="0"/>
            </w:tcBorders>
            <w:noWrap w:val="0"/>
            <w:vAlign w:val="center"/>
          </w:tcPr>
          <w:p w14:paraId="044D37A0">
            <w:pPr>
              <w:jc w:val="center"/>
              <w:rPr>
                <w:rFonts w:hint="eastAsia" w:ascii="宋体" w:hAnsi="宋体" w:eastAsia="宋体" w:cs="宋体"/>
                <w:b/>
                <w:i w:val="0"/>
                <w:color w:val="000000"/>
                <w:sz w:val="18"/>
                <w:szCs w:val="18"/>
                <w:u w:val="none"/>
              </w:rPr>
            </w:pPr>
          </w:p>
        </w:tc>
        <w:tc>
          <w:tcPr>
            <w:tcW w:w="5505" w:type="dxa"/>
            <w:vMerge w:val="continue"/>
            <w:tcBorders>
              <w:top w:val="single" w:color="000000" w:sz="8" w:space="0"/>
              <w:left w:val="nil"/>
              <w:bottom w:val="single" w:color="000000" w:sz="8" w:space="0"/>
              <w:right w:val="single" w:color="000000" w:sz="8" w:space="0"/>
            </w:tcBorders>
            <w:noWrap w:val="0"/>
            <w:vAlign w:val="center"/>
          </w:tcPr>
          <w:p w14:paraId="4023A4B5">
            <w:pPr>
              <w:jc w:val="center"/>
              <w:rPr>
                <w:rFonts w:hint="eastAsia" w:ascii="宋体" w:hAnsi="宋体" w:eastAsia="宋体" w:cs="宋体"/>
                <w:b/>
                <w:i w:val="0"/>
                <w:color w:val="000000"/>
                <w:sz w:val="18"/>
                <w:szCs w:val="18"/>
                <w:u w:val="none"/>
              </w:rPr>
            </w:pPr>
          </w:p>
        </w:tc>
        <w:tc>
          <w:tcPr>
            <w:tcW w:w="939" w:type="dxa"/>
            <w:vMerge w:val="continue"/>
            <w:tcBorders>
              <w:top w:val="single" w:color="000000" w:sz="8" w:space="0"/>
              <w:left w:val="nil"/>
              <w:bottom w:val="single" w:color="000000" w:sz="8" w:space="0"/>
              <w:right w:val="single" w:color="000000" w:sz="8" w:space="0"/>
            </w:tcBorders>
            <w:noWrap w:val="0"/>
            <w:vAlign w:val="center"/>
          </w:tcPr>
          <w:p w14:paraId="4FCEA897">
            <w:pPr>
              <w:jc w:val="center"/>
              <w:rPr>
                <w:rFonts w:hint="eastAsia" w:ascii="宋体" w:hAnsi="宋体" w:eastAsia="宋体" w:cs="宋体"/>
                <w:b/>
                <w:i w:val="0"/>
                <w:color w:val="000000"/>
                <w:sz w:val="18"/>
                <w:szCs w:val="18"/>
                <w:u w:val="none"/>
              </w:rPr>
            </w:pPr>
          </w:p>
        </w:tc>
      </w:tr>
      <w:tr w14:paraId="783B4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10" w:type="dxa"/>
            <w:vMerge w:val="continue"/>
            <w:tcBorders>
              <w:top w:val="single" w:color="000000" w:sz="8" w:space="0"/>
              <w:left w:val="single" w:color="000000" w:sz="8" w:space="0"/>
              <w:bottom w:val="single" w:color="000000" w:sz="8" w:space="0"/>
              <w:right w:val="single" w:color="000000" w:sz="8" w:space="0"/>
            </w:tcBorders>
            <w:noWrap w:val="0"/>
            <w:vAlign w:val="center"/>
          </w:tcPr>
          <w:p w14:paraId="3BCC03F4">
            <w:pPr>
              <w:jc w:val="center"/>
              <w:rPr>
                <w:rFonts w:hint="eastAsia" w:ascii="宋体" w:hAnsi="宋体" w:eastAsia="宋体" w:cs="宋体"/>
                <w:b/>
                <w:i w:val="0"/>
                <w:color w:val="000000"/>
                <w:sz w:val="18"/>
                <w:szCs w:val="18"/>
                <w:u w:val="none"/>
              </w:rPr>
            </w:pPr>
          </w:p>
        </w:tc>
        <w:tc>
          <w:tcPr>
            <w:tcW w:w="1468" w:type="dxa"/>
            <w:vMerge w:val="continue"/>
            <w:tcBorders>
              <w:top w:val="single" w:color="000000" w:sz="8" w:space="0"/>
              <w:left w:val="nil"/>
              <w:bottom w:val="single" w:color="000000" w:sz="8" w:space="0"/>
              <w:right w:val="single" w:color="000000" w:sz="8" w:space="0"/>
            </w:tcBorders>
            <w:noWrap w:val="0"/>
            <w:vAlign w:val="center"/>
          </w:tcPr>
          <w:p w14:paraId="064AB145">
            <w:pPr>
              <w:jc w:val="center"/>
              <w:rPr>
                <w:rFonts w:hint="eastAsia" w:ascii="宋体" w:hAnsi="宋体" w:eastAsia="宋体" w:cs="宋体"/>
                <w:b/>
                <w:i w:val="0"/>
                <w:color w:val="000000"/>
                <w:sz w:val="18"/>
                <w:szCs w:val="18"/>
                <w:u w:val="none"/>
              </w:rPr>
            </w:pPr>
          </w:p>
        </w:tc>
        <w:tc>
          <w:tcPr>
            <w:tcW w:w="5505" w:type="dxa"/>
            <w:vMerge w:val="continue"/>
            <w:tcBorders>
              <w:top w:val="single" w:color="000000" w:sz="8" w:space="0"/>
              <w:left w:val="nil"/>
              <w:bottom w:val="single" w:color="000000" w:sz="8" w:space="0"/>
              <w:right w:val="single" w:color="000000" w:sz="8" w:space="0"/>
            </w:tcBorders>
            <w:noWrap w:val="0"/>
            <w:vAlign w:val="center"/>
          </w:tcPr>
          <w:p w14:paraId="4F2FC998">
            <w:pPr>
              <w:jc w:val="center"/>
              <w:rPr>
                <w:rFonts w:hint="eastAsia" w:ascii="宋体" w:hAnsi="宋体" w:eastAsia="宋体" w:cs="宋体"/>
                <w:b/>
                <w:i w:val="0"/>
                <w:color w:val="000000"/>
                <w:sz w:val="18"/>
                <w:szCs w:val="18"/>
                <w:u w:val="none"/>
              </w:rPr>
            </w:pPr>
          </w:p>
        </w:tc>
        <w:tc>
          <w:tcPr>
            <w:tcW w:w="939" w:type="dxa"/>
            <w:vMerge w:val="continue"/>
            <w:tcBorders>
              <w:top w:val="single" w:color="000000" w:sz="8" w:space="0"/>
              <w:left w:val="nil"/>
              <w:bottom w:val="single" w:color="000000" w:sz="8" w:space="0"/>
              <w:right w:val="single" w:color="000000" w:sz="8" w:space="0"/>
            </w:tcBorders>
            <w:noWrap w:val="0"/>
            <w:vAlign w:val="center"/>
          </w:tcPr>
          <w:p w14:paraId="119645F7">
            <w:pPr>
              <w:jc w:val="center"/>
              <w:rPr>
                <w:rFonts w:hint="eastAsia" w:ascii="宋体" w:hAnsi="宋体" w:eastAsia="宋体" w:cs="宋体"/>
                <w:b/>
                <w:i w:val="0"/>
                <w:color w:val="000000"/>
                <w:sz w:val="18"/>
                <w:szCs w:val="18"/>
                <w:u w:val="none"/>
              </w:rPr>
            </w:pPr>
          </w:p>
        </w:tc>
      </w:tr>
      <w:tr w14:paraId="0DE21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0" w:type="dxa"/>
            <w:vMerge w:val="restart"/>
            <w:tcBorders>
              <w:top w:val="nil"/>
              <w:left w:val="single" w:color="000000" w:sz="8" w:space="0"/>
              <w:bottom w:val="single" w:color="000000" w:sz="8" w:space="0"/>
              <w:right w:val="single" w:color="000000" w:sz="8" w:space="0"/>
            </w:tcBorders>
            <w:noWrap w:val="0"/>
            <w:vAlign w:val="center"/>
          </w:tcPr>
          <w:p w14:paraId="61FA0B9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468" w:type="dxa"/>
            <w:vMerge w:val="restart"/>
            <w:tcBorders>
              <w:top w:val="nil"/>
              <w:left w:val="nil"/>
              <w:bottom w:val="single" w:color="000000" w:sz="8" w:space="0"/>
              <w:right w:val="single" w:color="000000" w:sz="8" w:space="0"/>
            </w:tcBorders>
            <w:noWrap w:val="0"/>
            <w:vAlign w:val="center"/>
          </w:tcPr>
          <w:p w14:paraId="71AAFC7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价格分</w:t>
            </w:r>
          </w:p>
        </w:tc>
        <w:tc>
          <w:tcPr>
            <w:tcW w:w="5505" w:type="dxa"/>
            <w:tcBorders>
              <w:top w:val="nil"/>
              <w:left w:val="nil"/>
              <w:bottom w:val="nil"/>
              <w:right w:val="single" w:color="000000" w:sz="8" w:space="0"/>
            </w:tcBorders>
            <w:noWrap w:val="0"/>
            <w:vAlign w:val="center"/>
          </w:tcPr>
          <w:p w14:paraId="2EADC8A6">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（1）报价分。满足磋商文件要求且投标价格最低的投标报价为评标基准价，本项目价格分为20分。其他供应商投标报价得分＝（评标基准价/投标报价）×20%×100，分值计算保留两位小数点。</w:t>
            </w:r>
          </w:p>
        </w:tc>
        <w:tc>
          <w:tcPr>
            <w:tcW w:w="939" w:type="dxa"/>
            <w:vMerge w:val="restart"/>
            <w:tcBorders>
              <w:top w:val="nil"/>
              <w:left w:val="nil"/>
              <w:bottom w:val="single" w:color="000000" w:sz="8" w:space="0"/>
              <w:right w:val="single" w:color="000000" w:sz="8" w:space="0"/>
            </w:tcBorders>
            <w:noWrap w:val="0"/>
            <w:vAlign w:val="center"/>
          </w:tcPr>
          <w:p w14:paraId="24EC5525">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25分</w:t>
            </w:r>
          </w:p>
        </w:tc>
      </w:tr>
      <w:tr w14:paraId="1E32A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0" w:type="dxa"/>
            <w:vMerge w:val="continue"/>
            <w:tcBorders>
              <w:top w:val="nil"/>
              <w:left w:val="single" w:color="000000" w:sz="8" w:space="0"/>
              <w:bottom w:val="single" w:color="000000" w:sz="8" w:space="0"/>
              <w:right w:val="single" w:color="000000" w:sz="8" w:space="0"/>
            </w:tcBorders>
            <w:noWrap w:val="0"/>
            <w:vAlign w:val="center"/>
          </w:tcPr>
          <w:p w14:paraId="34CA6C34">
            <w:pPr>
              <w:jc w:val="center"/>
              <w:rPr>
                <w:rFonts w:hint="eastAsia" w:ascii="宋体" w:hAnsi="宋体" w:eastAsia="宋体" w:cs="宋体"/>
                <w:i w:val="0"/>
                <w:color w:val="000000"/>
                <w:sz w:val="18"/>
                <w:szCs w:val="18"/>
                <w:u w:val="none"/>
              </w:rPr>
            </w:pPr>
          </w:p>
        </w:tc>
        <w:tc>
          <w:tcPr>
            <w:tcW w:w="1468" w:type="dxa"/>
            <w:vMerge w:val="continue"/>
            <w:tcBorders>
              <w:top w:val="nil"/>
              <w:left w:val="nil"/>
              <w:bottom w:val="single" w:color="000000" w:sz="8" w:space="0"/>
              <w:right w:val="single" w:color="000000" w:sz="8" w:space="0"/>
            </w:tcBorders>
            <w:noWrap w:val="0"/>
            <w:vAlign w:val="center"/>
          </w:tcPr>
          <w:p w14:paraId="21355A07">
            <w:pPr>
              <w:jc w:val="center"/>
              <w:rPr>
                <w:rFonts w:hint="eastAsia" w:ascii="宋体" w:hAnsi="宋体" w:eastAsia="宋体" w:cs="宋体"/>
                <w:i w:val="0"/>
                <w:color w:val="000000"/>
                <w:sz w:val="18"/>
                <w:szCs w:val="18"/>
                <w:u w:val="none"/>
              </w:rPr>
            </w:pPr>
          </w:p>
        </w:tc>
        <w:tc>
          <w:tcPr>
            <w:tcW w:w="5505" w:type="dxa"/>
            <w:tcBorders>
              <w:top w:val="nil"/>
              <w:left w:val="nil"/>
              <w:bottom w:val="single" w:color="000000" w:sz="8" w:space="0"/>
              <w:right w:val="single" w:color="000000" w:sz="8" w:space="0"/>
            </w:tcBorders>
            <w:noWrap w:val="0"/>
            <w:vAlign w:val="center"/>
          </w:tcPr>
          <w:p w14:paraId="3767A446">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（2）驾驶员收入分。驾驶员每月到手收入不低于七千元得5分，低于七千元得0分。需提供书面承诺并盖章。</w:t>
            </w:r>
          </w:p>
        </w:tc>
        <w:tc>
          <w:tcPr>
            <w:tcW w:w="939" w:type="dxa"/>
            <w:vMerge w:val="continue"/>
            <w:tcBorders>
              <w:top w:val="nil"/>
              <w:left w:val="nil"/>
              <w:bottom w:val="single" w:color="000000" w:sz="8" w:space="0"/>
              <w:right w:val="single" w:color="000000" w:sz="8" w:space="0"/>
            </w:tcBorders>
            <w:noWrap w:val="0"/>
            <w:vAlign w:val="center"/>
          </w:tcPr>
          <w:p w14:paraId="21633190">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p>
        </w:tc>
      </w:tr>
      <w:tr w14:paraId="19A12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0" w:type="dxa"/>
            <w:tcBorders>
              <w:top w:val="nil"/>
              <w:left w:val="single" w:color="000000" w:sz="8" w:space="0"/>
              <w:bottom w:val="single" w:color="000000" w:sz="8" w:space="0"/>
              <w:right w:val="single" w:color="000000" w:sz="8" w:space="0"/>
            </w:tcBorders>
            <w:noWrap w:val="0"/>
            <w:vAlign w:val="center"/>
          </w:tcPr>
          <w:p w14:paraId="7EBE285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1468" w:type="dxa"/>
            <w:tcBorders>
              <w:top w:val="nil"/>
              <w:left w:val="nil"/>
              <w:bottom w:val="single" w:color="000000" w:sz="8" w:space="0"/>
              <w:right w:val="single" w:color="000000" w:sz="8" w:space="0"/>
            </w:tcBorders>
            <w:noWrap w:val="0"/>
            <w:vAlign w:val="center"/>
          </w:tcPr>
          <w:p w14:paraId="018CBC47">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服务承诺</w:t>
            </w:r>
          </w:p>
        </w:tc>
        <w:tc>
          <w:tcPr>
            <w:tcW w:w="5505" w:type="dxa"/>
            <w:tcBorders>
              <w:top w:val="nil"/>
              <w:left w:val="nil"/>
              <w:bottom w:val="single" w:color="000000" w:sz="8" w:space="0"/>
              <w:right w:val="single" w:color="000000" w:sz="8" w:space="0"/>
            </w:tcBorders>
            <w:noWrap w:val="0"/>
            <w:vAlign w:val="center"/>
          </w:tcPr>
          <w:p w14:paraId="718C218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书面承诺完全响应（满足）采购人磋商文件（含合同文本）的要求，得</w:t>
            </w:r>
            <w:r>
              <w:rPr>
                <w:rFonts w:hint="eastAsia" w:ascii="宋体" w:hAnsi="宋体" w:cs="宋体"/>
                <w:i w:val="0"/>
                <w:color w:val="000000"/>
                <w:kern w:val="0"/>
                <w:sz w:val="18"/>
                <w:szCs w:val="18"/>
                <w:u w:val="none"/>
                <w:lang w:val="en-US" w:eastAsia="zh-CN" w:bidi="ar"/>
              </w:rPr>
              <w:t>11</w:t>
            </w:r>
            <w:r>
              <w:rPr>
                <w:rFonts w:hint="eastAsia" w:ascii="宋体" w:hAnsi="宋体" w:eastAsia="宋体" w:cs="宋体"/>
                <w:i w:val="0"/>
                <w:color w:val="000000"/>
                <w:kern w:val="0"/>
                <w:sz w:val="18"/>
                <w:szCs w:val="18"/>
                <w:u w:val="none"/>
                <w:lang w:val="en-US" w:eastAsia="zh-CN" w:bidi="ar"/>
              </w:rPr>
              <w:t>-1</w:t>
            </w:r>
            <w:r>
              <w:rPr>
                <w:rFonts w:hint="eastAsia" w:ascii="宋体" w:hAnsi="宋体" w:cs="宋体"/>
                <w:i w:val="0"/>
                <w:color w:val="000000"/>
                <w:kern w:val="0"/>
                <w:sz w:val="18"/>
                <w:szCs w:val="18"/>
                <w:u w:val="none"/>
                <w:lang w:val="en-US" w:eastAsia="zh-CN" w:bidi="ar"/>
              </w:rPr>
              <w:t>5</w:t>
            </w:r>
            <w:r>
              <w:rPr>
                <w:rFonts w:hint="eastAsia" w:ascii="宋体" w:hAnsi="宋体" w:eastAsia="宋体" w:cs="宋体"/>
                <w:i w:val="0"/>
                <w:color w:val="000000"/>
                <w:kern w:val="0"/>
                <w:sz w:val="18"/>
                <w:szCs w:val="18"/>
                <w:u w:val="none"/>
                <w:lang w:val="en-US" w:eastAsia="zh-CN" w:bidi="ar"/>
              </w:rPr>
              <w:t>分；对磋商文件（含合同文本）提出3条以内修改意见的，得</w:t>
            </w:r>
            <w:r>
              <w:rPr>
                <w:rFonts w:hint="eastAsia" w:ascii="宋体" w:hAnsi="宋体" w:cs="宋体"/>
                <w:i w:val="0"/>
                <w:color w:val="000000"/>
                <w:kern w:val="0"/>
                <w:sz w:val="18"/>
                <w:szCs w:val="18"/>
                <w:u w:val="none"/>
                <w:lang w:val="en-US" w:eastAsia="zh-CN" w:bidi="ar"/>
              </w:rPr>
              <w:t>6</w:t>
            </w:r>
            <w:r>
              <w:rPr>
                <w:rFonts w:hint="eastAsia" w:ascii="宋体" w:hAnsi="宋体" w:eastAsia="宋体" w:cs="宋体"/>
                <w:i w:val="0"/>
                <w:color w:val="000000"/>
                <w:kern w:val="0"/>
                <w:sz w:val="18"/>
                <w:szCs w:val="18"/>
                <w:u w:val="none"/>
                <w:lang w:val="en-US" w:eastAsia="zh-CN" w:bidi="ar"/>
              </w:rPr>
              <w:t>-</w:t>
            </w:r>
            <w:r>
              <w:rPr>
                <w:rFonts w:hint="eastAsia" w:ascii="宋体" w:hAnsi="宋体" w:cs="宋体"/>
                <w:i w:val="0"/>
                <w:color w:val="000000"/>
                <w:kern w:val="0"/>
                <w:sz w:val="18"/>
                <w:szCs w:val="18"/>
                <w:u w:val="none"/>
                <w:lang w:val="en-US" w:eastAsia="zh-CN" w:bidi="ar"/>
              </w:rPr>
              <w:t>10</w:t>
            </w:r>
            <w:r>
              <w:rPr>
                <w:rFonts w:hint="eastAsia" w:ascii="宋体" w:hAnsi="宋体" w:eastAsia="宋体" w:cs="宋体"/>
                <w:i w:val="0"/>
                <w:color w:val="000000"/>
                <w:kern w:val="0"/>
                <w:sz w:val="18"/>
                <w:szCs w:val="18"/>
                <w:u w:val="none"/>
                <w:lang w:val="en-US" w:eastAsia="zh-CN" w:bidi="ar"/>
              </w:rPr>
              <w:t>分；超出3条修改意见或未提供符合要求的书面服务承诺的的得0-</w:t>
            </w:r>
            <w:r>
              <w:rPr>
                <w:rFonts w:hint="eastAsia" w:ascii="宋体" w:hAnsi="宋体" w:cs="宋体"/>
                <w:i w:val="0"/>
                <w:color w:val="000000"/>
                <w:kern w:val="0"/>
                <w:sz w:val="18"/>
                <w:szCs w:val="18"/>
                <w:u w:val="none"/>
                <w:lang w:val="en-US" w:eastAsia="zh-CN" w:bidi="ar"/>
              </w:rPr>
              <w:t>5</w:t>
            </w:r>
            <w:r>
              <w:rPr>
                <w:rFonts w:hint="eastAsia" w:ascii="宋体" w:hAnsi="宋体" w:eastAsia="宋体" w:cs="宋体"/>
                <w:i w:val="0"/>
                <w:color w:val="000000"/>
                <w:kern w:val="0"/>
                <w:sz w:val="18"/>
                <w:szCs w:val="18"/>
                <w:u w:val="none"/>
                <w:lang w:val="en-US" w:eastAsia="zh-CN" w:bidi="ar"/>
              </w:rPr>
              <w:t>分。</w:t>
            </w:r>
          </w:p>
        </w:tc>
        <w:tc>
          <w:tcPr>
            <w:tcW w:w="939" w:type="dxa"/>
            <w:tcBorders>
              <w:top w:val="nil"/>
              <w:left w:val="nil"/>
              <w:bottom w:val="single" w:color="000000" w:sz="8" w:space="0"/>
              <w:right w:val="single" w:color="000000" w:sz="8" w:space="0"/>
            </w:tcBorders>
            <w:noWrap w:val="0"/>
            <w:vAlign w:val="center"/>
          </w:tcPr>
          <w:p w14:paraId="2F5B7172">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bidi="ar"/>
              </w:rPr>
            </w:pPr>
            <w:r>
              <w:rPr>
                <w:rFonts w:hint="eastAsia" w:ascii="宋体" w:hAnsi="宋体" w:eastAsia="宋体" w:cs="宋体"/>
                <w:i w:val="0"/>
                <w:color w:val="000000"/>
                <w:kern w:val="0"/>
                <w:sz w:val="18"/>
                <w:szCs w:val="18"/>
                <w:u w:val="none"/>
                <w:lang w:val="en-US" w:eastAsia="zh-CN" w:bidi="ar"/>
              </w:rPr>
              <w:t>1</w:t>
            </w:r>
            <w:r>
              <w:rPr>
                <w:rFonts w:hint="eastAsia" w:ascii="宋体" w:hAnsi="宋体" w:cs="宋体"/>
                <w:i w:val="0"/>
                <w:color w:val="000000"/>
                <w:kern w:val="0"/>
                <w:sz w:val="18"/>
                <w:szCs w:val="18"/>
                <w:u w:val="none"/>
                <w:lang w:val="en-US" w:eastAsia="zh-CN" w:bidi="ar"/>
              </w:rPr>
              <w:t>5</w:t>
            </w:r>
            <w:r>
              <w:rPr>
                <w:rStyle w:val="29"/>
                <w:kern w:val="0"/>
                <w:sz w:val="18"/>
                <w:szCs w:val="18"/>
                <w:lang w:val="en-US" w:eastAsia="zh-CN" w:bidi="ar"/>
              </w:rPr>
              <w:t>分</w:t>
            </w:r>
          </w:p>
        </w:tc>
      </w:tr>
      <w:tr w14:paraId="17A10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0" w:type="dxa"/>
            <w:vMerge w:val="restart"/>
            <w:tcBorders>
              <w:top w:val="nil"/>
              <w:left w:val="single" w:color="000000" w:sz="8" w:space="0"/>
              <w:bottom w:val="single" w:color="000000" w:sz="8" w:space="0"/>
              <w:right w:val="single" w:color="000000" w:sz="8" w:space="0"/>
            </w:tcBorders>
            <w:noWrap w:val="0"/>
            <w:vAlign w:val="center"/>
          </w:tcPr>
          <w:p w14:paraId="5AB269D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1468" w:type="dxa"/>
            <w:vMerge w:val="restart"/>
            <w:tcBorders>
              <w:top w:val="nil"/>
              <w:left w:val="nil"/>
              <w:bottom w:val="single" w:color="000000" w:sz="8" w:space="0"/>
              <w:right w:val="single" w:color="000000" w:sz="8" w:space="0"/>
            </w:tcBorders>
            <w:noWrap w:val="0"/>
            <w:vAlign w:val="center"/>
          </w:tcPr>
          <w:p w14:paraId="0F7F18F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驾驶员情况</w:t>
            </w:r>
          </w:p>
        </w:tc>
        <w:tc>
          <w:tcPr>
            <w:tcW w:w="5505" w:type="dxa"/>
            <w:tcBorders>
              <w:top w:val="nil"/>
              <w:left w:val="nil"/>
              <w:bottom w:val="nil"/>
              <w:right w:val="single" w:color="000000" w:sz="8" w:space="0"/>
            </w:tcBorders>
            <w:noWrap w:val="0"/>
            <w:vAlign w:val="center"/>
          </w:tcPr>
          <w:p w14:paraId="18E3FF2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根据投入本项目的驾驶员年龄、驾龄、身体情况、遵守交规情况、过往事故记录等评分。无描述不得分</w:t>
            </w:r>
          </w:p>
        </w:tc>
        <w:tc>
          <w:tcPr>
            <w:tcW w:w="939" w:type="dxa"/>
            <w:vMerge w:val="restart"/>
            <w:tcBorders>
              <w:top w:val="nil"/>
              <w:left w:val="nil"/>
              <w:bottom w:val="single" w:color="000000" w:sz="8" w:space="0"/>
              <w:right w:val="single" w:color="000000" w:sz="8" w:space="0"/>
            </w:tcBorders>
            <w:noWrap w:val="0"/>
            <w:vAlign w:val="center"/>
          </w:tcPr>
          <w:p w14:paraId="06FBCD85">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bidi="ar"/>
              </w:rPr>
            </w:pPr>
            <w:r>
              <w:rPr>
                <w:rFonts w:hint="eastAsia" w:ascii="宋体" w:hAnsi="宋体" w:eastAsia="宋体" w:cs="宋体"/>
                <w:i w:val="0"/>
                <w:color w:val="000000"/>
                <w:kern w:val="0"/>
                <w:sz w:val="18"/>
                <w:szCs w:val="18"/>
                <w:u w:val="none"/>
                <w:lang w:val="en-US" w:eastAsia="zh-CN" w:bidi="ar"/>
              </w:rPr>
              <w:t>20</w:t>
            </w:r>
            <w:r>
              <w:rPr>
                <w:rStyle w:val="29"/>
                <w:kern w:val="0"/>
                <w:sz w:val="18"/>
                <w:szCs w:val="18"/>
                <w:lang w:val="en-US" w:eastAsia="zh-CN" w:bidi="ar"/>
              </w:rPr>
              <w:t>分</w:t>
            </w:r>
          </w:p>
        </w:tc>
      </w:tr>
      <w:tr w14:paraId="28FB9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trPr>
        <w:tc>
          <w:tcPr>
            <w:tcW w:w="610" w:type="dxa"/>
            <w:vMerge w:val="continue"/>
            <w:tcBorders>
              <w:top w:val="nil"/>
              <w:left w:val="single" w:color="000000" w:sz="8" w:space="0"/>
              <w:bottom w:val="single" w:color="000000" w:sz="8" w:space="0"/>
              <w:right w:val="single" w:color="000000" w:sz="8" w:space="0"/>
            </w:tcBorders>
            <w:noWrap w:val="0"/>
            <w:vAlign w:val="center"/>
          </w:tcPr>
          <w:p w14:paraId="670A3A47">
            <w:pPr>
              <w:jc w:val="center"/>
              <w:rPr>
                <w:rFonts w:hint="eastAsia" w:ascii="宋体" w:hAnsi="宋体" w:eastAsia="宋体" w:cs="宋体"/>
                <w:i w:val="0"/>
                <w:color w:val="000000"/>
                <w:sz w:val="18"/>
                <w:szCs w:val="18"/>
                <w:u w:val="none"/>
              </w:rPr>
            </w:pPr>
          </w:p>
        </w:tc>
        <w:tc>
          <w:tcPr>
            <w:tcW w:w="1468" w:type="dxa"/>
            <w:vMerge w:val="continue"/>
            <w:tcBorders>
              <w:top w:val="nil"/>
              <w:left w:val="nil"/>
              <w:bottom w:val="single" w:color="000000" w:sz="8" w:space="0"/>
              <w:right w:val="single" w:color="000000" w:sz="8" w:space="0"/>
            </w:tcBorders>
            <w:noWrap w:val="0"/>
            <w:vAlign w:val="center"/>
          </w:tcPr>
          <w:p w14:paraId="31922CC8">
            <w:pPr>
              <w:jc w:val="center"/>
              <w:rPr>
                <w:rFonts w:hint="eastAsia" w:ascii="宋体" w:hAnsi="宋体" w:eastAsia="宋体" w:cs="宋体"/>
                <w:i w:val="0"/>
                <w:color w:val="000000"/>
                <w:sz w:val="18"/>
                <w:szCs w:val="18"/>
                <w:u w:val="none"/>
              </w:rPr>
            </w:pPr>
          </w:p>
        </w:tc>
        <w:tc>
          <w:tcPr>
            <w:tcW w:w="5505" w:type="dxa"/>
            <w:tcBorders>
              <w:top w:val="nil"/>
              <w:left w:val="nil"/>
              <w:bottom w:val="nil"/>
              <w:right w:val="single" w:color="000000" w:sz="8" w:space="0"/>
            </w:tcBorders>
            <w:noWrap w:val="0"/>
            <w:vAlign w:val="center"/>
          </w:tcPr>
          <w:p w14:paraId="2F9E199E">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（1）A1驾照驾龄5年以上得</w:t>
            </w:r>
            <w:r>
              <w:rPr>
                <w:rFonts w:hint="default" w:ascii="宋体" w:hAnsi="宋体" w:eastAsia="宋体" w:cs="宋体"/>
                <w:i w:val="0"/>
                <w:color w:val="000000"/>
                <w:kern w:val="0"/>
                <w:sz w:val="18"/>
                <w:szCs w:val="18"/>
                <w:u w:val="none"/>
                <w:lang w:val="en-US" w:eastAsia="zh-CN" w:bidi="ar"/>
              </w:rPr>
              <w:t>5</w:t>
            </w:r>
            <w:r>
              <w:rPr>
                <w:rFonts w:hint="eastAsia" w:ascii="宋体" w:hAnsi="宋体" w:eastAsia="宋体" w:cs="宋体"/>
                <w:i w:val="0"/>
                <w:color w:val="000000"/>
                <w:kern w:val="0"/>
                <w:sz w:val="18"/>
                <w:szCs w:val="18"/>
                <w:u w:val="none"/>
                <w:lang w:val="en-US" w:eastAsia="zh-CN" w:bidi="ar"/>
              </w:rPr>
              <w:t>分；</w:t>
            </w:r>
          </w:p>
        </w:tc>
        <w:tc>
          <w:tcPr>
            <w:tcW w:w="939" w:type="dxa"/>
            <w:vMerge w:val="continue"/>
            <w:tcBorders>
              <w:top w:val="nil"/>
              <w:left w:val="nil"/>
              <w:bottom w:val="single" w:color="000000" w:sz="8" w:space="0"/>
              <w:right w:val="single" w:color="000000" w:sz="8" w:space="0"/>
            </w:tcBorders>
            <w:noWrap w:val="0"/>
            <w:vAlign w:val="center"/>
          </w:tcPr>
          <w:p w14:paraId="008254CE">
            <w:pPr>
              <w:widowControl/>
              <w:jc w:val="center"/>
              <w:textAlignment w:val="center"/>
              <w:rPr>
                <w:rFonts w:hint="eastAsia" w:ascii="宋体" w:hAnsi="宋体" w:eastAsia="宋体" w:cs="宋体"/>
                <w:i w:val="0"/>
                <w:color w:val="000000"/>
                <w:kern w:val="0"/>
                <w:sz w:val="18"/>
                <w:szCs w:val="18"/>
                <w:u w:val="none"/>
                <w:lang w:bidi="ar"/>
              </w:rPr>
            </w:pPr>
          </w:p>
        </w:tc>
      </w:tr>
      <w:tr w14:paraId="143C1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0" w:type="dxa"/>
            <w:vMerge w:val="continue"/>
            <w:tcBorders>
              <w:top w:val="nil"/>
              <w:left w:val="single" w:color="000000" w:sz="8" w:space="0"/>
              <w:bottom w:val="single" w:color="000000" w:sz="8" w:space="0"/>
              <w:right w:val="single" w:color="000000" w:sz="8" w:space="0"/>
            </w:tcBorders>
            <w:noWrap w:val="0"/>
            <w:vAlign w:val="center"/>
          </w:tcPr>
          <w:p w14:paraId="68C04557">
            <w:pPr>
              <w:jc w:val="center"/>
              <w:rPr>
                <w:rFonts w:hint="eastAsia" w:ascii="宋体" w:hAnsi="宋体" w:eastAsia="宋体" w:cs="宋体"/>
                <w:i w:val="0"/>
                <w:color w:val="000000"/>
                <w:sz w:val="18"/>
                <w:szCs w:val="18"/>
                <w:u w:val="none"/>
              </w:rPr>
            </w:pPr>
          </w:p>
        </w:tc>
        <w:tc>
          <w:tcPr>
            <w:tcW w:w="1468" w:type="dxa"/>
            <w:vMerge w:val="continue"/>
            <w:tcBorders>
              <w:top w:val="nil"/>
              <w:left w:val="nil"/>
              <w:bottom w:val="single" w:color="000000" w:sz="8" w:space="0"/>
              <w:right w:val="single" w:color="000000" w:sz="8" w:space="0"/>
            </w:tcBorders>
            <w:noWrap w:val="0"/>
            <w:vAlign w:val="center"/>
          </w:tcPr>
          <w:p w14:paraId="3D8FD79A">
            <w:pPr>
              <w:jc w:val="center"/>
              <w:rPr>
                <w:rFonts w:hint="eastAsia" w:ascii="宋体" w:hAnsi="宋体" w:eastAsia="宋体" w:cs="宋体"/>
                <w:i w:val="0"/>
                <w:color w:val="000000"/>
                <w:sz w:val="18"/>
                <w:szCs w:val="18"/>
                <w:u w:val="none"/>
              </w:rPr>
            </w:pPr>
          </w:p>
        </w:tc>
        <w:tc>
          <w:tcPr>
            <w:tcW w:w="5505" w:type="dxa"/>
            <w:tcBorders>
              <w:top w:val="nil"/>
              <w:left w:val="nil"/>
              <w:bottom w:val="nil"/>
              <w:right w:val="single" w:color="000000" w:sz="8" w:space="0"/>
            </w:tcBorders>
            <w:noWrap w:val="0"/>
            <w:vAlign w:val="center"/>
          </w:tcPr>
          <w:p w14:paraId="3D32E1EC">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r>
              <w:rPr>
                <w:rFonts w:hint="eastAsia" w:ascii="宋体" w:hAnsi="宋体" w:cs="宋体"/>
                <w:i w:val="0"/>
                <w:color w:val="000000"/>
                <w:kern w:val="0"/>
                <w:sz w:val="18"/>
                <w:szCs w:val="18"/>
                <w:u w:val="none"/>
                <w:lang w:val="en-US" w:eastAsia="zh-CN" w:bidi="ar"/>
              </w:rPr>
              <w:t>2</w:t>
            </w:r>
            <w:r>
              <w:rPr>
                <w:rFonts w:hint="eastAsia" w:ascii="宋体" w:hAnsi="宋体" w:eastAsia="宋体" w:cs="宋体"/>
                <w:i w:val="0"/>
                <w:color w:val="000000"/>
                <w:kern w:val="0"/>
                <w:sz w:val="18"/>
                <w:szCs w:val="18"/>
                <w:u w:val="none"/>
                <w:lang w:val="en-US" w:eastAsia="zh-CN" w:bidi="ar"/>
              </w:rPr>
              <w:t>）提供近3个月以内的健康报告得5分；</w:t>
            </w:r>
          </w:p>
        </w:tc>
        <w:tc>
          <w:tcPr>
            <w:tcW w:w="939" w:type="dxa"/>
            <w:vMerge w:val="continue"/>
            <w:tcBorders>
              <w:top w:val="nil"/>
              <w:left w:val="nil"/>
              <w:bottom w:val="single" w:color="000000" w:sz="8" w:space="0"/>
              <w:right w:val="single" w:color="000000" w:sz="8" w:space="0"/>
            </w:tcBorders>
            <w:noWrap w:val="0"/>
            <w:vAlign w:val="center"/>
          </w:tcPr>
          <w:p w14:paraId="0E57A831">
            <w:pPr>
              <w:widowControl/>
              <w:jc w:val="center"/>
              <w:textAlignment w:val="center"/>
              <w:rPr>
                <w:rFonts w:hint="eastAsia" w:ascii="宋体" w:hAnsi="宋体" w:eastAsia="宋体" w:cs="宋体"/>
                <w:i w:val="0"/>
                <w:color w:val="000000"/>
                <w:kern w:val="0"/>
                <w:sz w:val="18"/>
                <w:szCs w:val="18"/>
                <w:u w:val="none"/>
                <w:lang w:bidi="ar"/>
              </w:rPr>
            </w:pPr>
          </w:p>
        </w:tc>
      </w:tr>
      <w:tr w14:paraId="37163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0" w:type="dxa"/>
            <w:vMerge w:val="continue"/>
            <w:tcBorders>
              <w:top w:val="nil"/>
              <w:left w:val="single" w:color="000000" w:sz="8" w:space="0"/>
              <w:bottom w:val="single" w:color="000000" w:sz="8" w:space="0"/>
              <w:right w:val="single" w:color="000000" w:sz="8" w:space="0"/>
            </w:tcBorders>
            <w:noWrap w:val="0"/>
            <w:vAlign w:val="center"/>
          </w:tcPr>
          <w:p w14:paraId="144BCF91">
            <w:pPr>
              <w:jc w:val="center"/>
              <w:rPr>
                <w:rFonts w:hint="eastAsia" w:ascii="宋体" w:hAnsi="宋体" w:eastAsia="宋体" w:cs="宋体"/>
                <w:i w:val="0"/>
                <w:color w:val="000000"/>
                <w:sz w:val="18"/>
                <w:szCs w:val="18"/>
                <w:u w:val="none"/>
              </w:rPr>
            </w:pPr>
          </w:p>
        </w:tc>
        <w:tc>
          <w:tcPr>
            <w:tcW w:w="1468" w:type="dxa"/>
            <w:vMerge w:val="continue"/>
            <w:tcBorders>
              <w:top w:val="nil"/>
              <w:left w:val="nil"/>
              <w:bottom w:val="single" w:color="000000" w:sz="8" w:space="0"/>
              <w:right w:val="single" w:color="000000" w:sz="8" w:space="0"/>
            </w:tcBorders>
            <w:noWrap w:val="0"/>
            <w:vAlign w:val="center"/>
          </w:tcPr>
          <w:p w14:paraId="7BE9DF89">
            <w:pPr>
              <w:jc w:val="center"/>
              <w:rPr>
                <w:rFonts w:hint="eastAsia" w:ascii="宋体" w:hAnsi="宋体" w:eastAsia="宋体" w:cs="宋体"/>
                <w:i w:val="0"/>
                <w:color w:val="000000"/>
                <w:sz w:val="18"/>
                <w:szCs w:val="18"/>
                <w:u w:val="none"/>
              </w:rPr>
            </w:pPr>
          </w:p>
        </w:tc>
        <w:tc>
          <w:tcPr>
            <w:tcW w:w="5505" w:type="dxa"/>
            <w:tcBorders>
              <w:top w:val="nil"/>
              <w:left w:val="nil"/>
              <w:bottom w:val="nil"/>
              <w:right w:val="single" w:color="000000" w:sz="8" w:space="0"/>
            </w:tcBorders>
            <w:noWrap w:val="0"/>
            <w:vAlign w:val="center"/>
          </w:tcPr>
          <w:p w14:paraId="0EB93A89">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r>
              <w:rPr>
                <w:rFonts w:hint="eastAsia" w:ascii="宋体" w:hAnsi="宋体" w:cs="宋体"/>
                <w:i w:val="0"/>
                <w:color w:val="000000"/>
                <w:kern w:val="0"/>
                <w:sz w:val="18"/>
                <w:szCs w:val="18"/>
                <w:u w:val="none"/>
                <w:lang w:val="en-US" w:eastAsia="zh-CN" w:bidi="ar"/>
              </w:rPr>
              <w:t>3</w:t>
            </w:r>
            <w:r>
              <w:rPr>
                <w:rFonts w:hint="eastAsia" w:ascii="宋体" w:hAnsi="宋体" w:eastAsia="宋体" w:cs="宋体"/>
                <w:i w:val="0"/>
                <w:color w:val="000000"/>
                <w:kern w:val="0"/>
                <w:sz w:val="18"/>
                <w:szCs w:val="18"/>
                <w:u w:val="none"/>
                <w:lang w:val="en-US" w:eastAsia="zh-CN" w:bidi="ar"/>
              </w:rPr>
              <w:t>）近3年无交通违章记录得5分；</w:t>
            </w:r>
          </w:p>
        </w:tc>
        <w:tc>
          <w:tcPr>
            <w:tcW w:w="939" w:type="dxa"/>
            <w:vMerge w:val="continue"/>
            <w:tcBorders>
              <w:top w:val="nil"/>
              <w:left w:val="nil"/>
              <w:bottom w:val="single" w:color="000000" w:sz="8" w:space="0"/>
              <w:right w:val="single" w:color="000000" w:sz="8" w:space="0"/>
            </w:tcBorders>
            <w:noWrap w:val="0"/>
            <w:vAlign w:val="center"/>
          </w:tcPr>
          <w:p w14:paraId="3F3E45AA">
            <w:pPr>
              <w:widowControl/>
              <w:jc w:val="center"/>
              <w:textAlignment w:val="center"/>
              <w:rPr>
                <w:rFonts w:hint="eastAsia" w:ascii="宋体" w:hAnsi="宋体" w:eastAsia="宋体" w:cs="宋体"/>
                <w:i w:val="0"/>
                <w:color w:val="000000"/>
                <w:kern w:val="0"/>
                <w:sz w:val="18"/>
                <w:szCs w:val="18"/>
                <w:u w:val="none"/>
                <w:lang w:bidi="ar"/>
              </w:rPr>
            </w:pPr>
          </w:p>
        </w:tc>
      </w:tr>
      <w:tr w14:paraId="036BE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0" w:type="dxa"/>
            <w:vMerge w:val="continue"/>
            <w:tcBorders>
              <w:top w:val="nil"/>
              <w:left w:val="single" w:color="000000" w:sz="8" w:space="0"/>
              <w:bottom w:val="single" w:color="000000" w:sz="8" w:space="0"/>
              <w:right w:val="single" w:color="000000" w:sz="8" w:space="0"/>
            </w:tcBorders>
            <w:noWrap w:val="0"/>
            <w:vAlign w:val="center"/>
          </w:tcPr>
          <w:p w14:paraId="402B7550">
            <w:pPr>
              <w:jc w:val="center"/>
              <w:rPr>
                <w:rFonts w:hint="eastAsia" w:ascii="宋体" w:hAnsi="宋体" w:eastAsia="宋体" w:cs="宋体"/>
                <w:i w:val="0"/>
                <w:color w:val="000000"/>
                <w:sz w:val="18"/>
                <w:szCs w:val="18"/>
                <w:u w:val="none"/>
              </w:rPr>
            </w:pPr>
          </w:p>
        </w:tc>
        <w:tc>
          <w:tcPr>
            <w:tcW w:w="1468" w:type="dxa"/>
            <w:vMerge w:val="continue"/>
            <w:tcBorders>
              <w:top w:val="nil"/>
              <w:left w:val="nil"/>
              <w:bottom w:val="single" w:color="000000" w:sz="8" w:space="0"/>
              <w:right w:val="single" w:color="000000" w:sz="8" w:space="0"/>
            </w:tcBorders>
            <w:noWrap w:val="0"/>
            <w:vAlign w:val="center"/>
          </w:tcPr>
          <w:p w14:paraId="36F10CF4">
            <w:pPr>
              <w:jc w:val="center"/>
              <w:rPr>
                <w:rFonts w:hint="eastAsia" w:ascii="宋体" w:hAnsi="宋体" w:eastAsia="宋体" w:cs="宋体"/>
                <w:i w:val="0"/>
                <w:color w:val="000000"/>
                <w:sz w:val="18"/>
                <w:szCs w:val="18"/>
                <w:u w:val="none"/>
              </w:rPr>
            </w:pPr>
          </w:p>
        </w:tc>
        <w:tc>
          <w:tcPr>
            <w:tcW w:w="5505" w:type="dxa"/>
            <w:tcBorders>
              <w:top w:val="nil"/>
              <w:left w:val="nil"/>
              <w:bottom w:val="single" w:color="000000" w:sz="8" w:space="0"/>
              <w:right w:val="single" w:color="000000" w:sz="8" w:space="0"/>
            </w:tcBorders>
            <w:noWrap w:val="0"/>
            <w:vAlign w:val="center"/>
          </w:tcPr>
          <w:p w14:paraId="72C7FF59">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r>
              <w:rPr>
                <w:rFonts w:hint="eastAsia" w:ascii="宋体" w:hAnsi="宋体" w:cs="宋体"/>
                <w:i w:val="0"/>
                <w:color w:val="000000"/>
                <w:kern w:val="0"/>
                <w:sz w:val="18"/>
                <w:szCs w:val="18"/>
                <w:u w:val="none"/>
                <w:lang w:val="en-US" w:eastAsia="zh-CN" w:bidi="ar"/>
              </w:rPr>
              <w:t>4</w:t>
            </w:r>
            <w:r>
              <w:rPr>
                <w:rFonts w:hint="eastAsia" w:ascii="宋体" w:hAnsi="宋体" w:eastAsia="宋体" w:cs="宋体"/>
                <w:i w:val="0"/>
                <w:color w:val="000000"/>
                <w:kern w:val="0"/>
                <w:sz w:val="18"/>
                <w:szCs w:val="18"/>
                <w:u w:val="none"/>
                <w:lang w:val="en-US" w:eastAsia="zh-CN" w:bidi="ar"/>
              </w:rPr>
              <w:t>）近10年无重大责任交通事故得5分。</w:t>
            </w:r>
          </w:p>
        </w:tc>
        <w:tc>
          <w:tcPr>
            <w:tcW w:w="939" w:type="dxa"/>
            <w:vMerge w:val="continue"/>
            <w:tcBorders>
              <w:top w:val="nil"/>
              <w:left w:val="nil"/>
              <w:bottom w:val="single" w:color="000000" w:sz="8" w:space="0"/>
              <w:right w:val="single" w:color="000000" w:sz="8" w:space="0"/>
            </w:tcBorders>
            <w:noWrap w:val="0"/>
            <w:vAlign w:val="center"/>
          </w:tcPr>
          <w:p w14:paraId="38B61317">
            <w:pPr>
              <w:widowControl/>
              <w:jc w:val="center"/>
              <w:textAlignment w:val="center"/>
              <w:rPr>
                <w:rFonts w:hint="eastAsia" w:ascii="宋体" w:hAnsi="宋体" w:eastAsia="宋体" w:cs="宋体"/>
                <w:i w:val="0"/>
                <w:color w:val="000000"/>
                <w:kern w:val="0"/>
                <w:sz w:val="18"/>
                <w:szCs w:val="18"/>
                <w:u w:val="none"/>
                <w:lang w:bidi="ar"/>
              </w:rPr>
            </w:pPr>
          </w:p>
        </w:tc>
      </w:tr>
      <w:tr w14:paraId="03CF9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0" w:type="dxa"/>
            <w:vMerge w:val="restart"/>
            <w:tcBorders>
              <w:top w:val="nil"/>
              <w:left w:val="single" w:color="000000" w:sz="8" w:space="0"/>
              <w:bottom w:val="single" w:color="000000" w:sz="8" w:space="0"/>
              <w:right w:val="single" w:color="000000" w:sz="8" w:space="0"/>
            </w:tcBorders>
            <w:noWrap w:val="0"/>
            <w:vAlign w:val="center"/>
          </w:tcPr>
          <w:p w14:paraId="6E425CE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1468" w:type="dxa"/>
            <w:vMerge w:val="restart"/>
            <w:tcBorders>
              <w:top w:val="nil"/>
              <w:left w:val="nil"/>
              <w:bottom w:val="single" w:color="000000" w:sz="8" w:space="0"/>
              <w:right w:val="single" w:color="000000" w:sz="8" w:space="0"/>
            </w:tcBorders>
            <w:noWrap w:val="0"/>
            <w:vAlign w:val="center"/>
          </w:tcPr>
          <w:p w14:paraId="2DC6A20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驾驶技术与服务态度现场测试</w:t>
            </w:r>
          </w:p>
        </w:tc>
        <w:tc>
          <w:tcPr>
            <w:tcW w:w="5505" w:type="dxa"/>
            <w:tcBorders>
              <w:top w:val="nil"/>
              <w:left w:val="nil"/>
              <w:bottom w:val="nil"/>
              <w:right w:val="single" w:color="000000" w:sz="8" w:space="0"/>
            </w:tcBorders>
            <w:noWrap w:val="0"/>
            <w:vAlign w:val="center"/>
          </w:tcPr>
          <w:p w14:paraId="1140CEC3">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对驾驶员的驾驶技术、服务态度进行现场测试并评分：</w:t>
            </w:r>
          </w:p>
        </w:tc>
        <w:tc>
          <w:tcPr>
            <w:tcW w:w="939" w:type="dxa"/>
            <w:vMerge w:val="restart"/>
            <w:tcBorders>
              <w:top w:val="nil"/>
              <w:left w:val="nil"/>
              <w:bottom w:val="single" w:color="000000" w:sz="8" w:space="0"/>
              <w:right w:val="single" w:color="000000" w:sz="8" w:space="0"/>
            </w:tcBorders>
            <w:noWrap w:val="0"/>
            <w:vAlign w:val="center"/>
          </w:tcPr>
          <w:p w14:paraId="2BD2BB8C">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bidi="ar"/>
              </w:rPr>
            </w:pPr>
            <w:r>
              <w:rPr>
                <w:rFonts w:hint="eastAsia" w:ascii="宋体" w:hAnsi="宋体" w:eastAsia="宋体" w:cs="宋体"/>
                <w:i w:val="0"/>
                <w:color w:val="000000"/>
                <w:kern w:val="0"/>
                <w:sz w:val="18"/>
                <w:szCs w:val="18"/>
                <w:u w:val="none"/>
                <w:lang w:val="en-US" w:eastAsia="zh-CN" w:bidi="ar"/>
              </w:rPr>
              <w:t>30分</w:t>
            </w:r>
          </w:p>
        </w:tc>
      </w:tr>
      <w:tr w14:paraId="03769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0" w:type="dxa"/>
            <w:vMerge w:val="continue"/>
            <w:tcBorders>
              <w:top w:val="nil"/>
              <w:left w:val="single" w:color="000000" w:sz="8" w:space="0"/>
              <w:bottom w:val="single" w:color="000000" w:sz="8" w:space="0"/>
              <w:right w:val="single" w:color="000000" w:sz="8" w:space="0"/>
            </w:tcBorders>
            <w:noWrap w:val="0"/>
            <w:vAlign w:val="center"/>
          </w:tcPr>
          <w:p w14:paraId="445399FD">
            <w:pPr>
              <w:jc w:val="center"/>
              <w:rPr>
                <w:rFonts w:hint="eastAsia" w:ascii="宋体" w:hAnsi="宋体" w:eastAsia="宋体" w:cs="宋体"/>
                <w:i w:val="0"/>
                <w:color w:val="000000"/>
                <w:sz w:val="18"/>
                <w:szCs w:val="18"/>
                <w:u w:val="none"/>
              </w:rPr>
            </w:pPr>
          </w:p>
        </w:tc>
        <w:tc>
          <w:tcPr>
            <w:tcW w:w="1468" w:type="dxa"/>
            <w:vMerge w:val="continue"/>
            <w:tcBorders>
              <w:top w:val="nil"/>
              <w:left w:val="nil"/>
              <w:bottom w:val="single" w:color="000000" w:sz="8" w:space="0"/>
              <w:right w:val="single" w:color="000000" w:sz="8" w:space="0"/>
            </w:tcBorders>
            <w:noWrap w:val="0"/>
            <w:vAlign w:val="center"/>
          </w:tcPr>
          <w:p w14:paraId="302A1603">
            <w:pPr>
              <w:jc w:val="center"/>
              <w:rPr>
                <w:rFonts w:hint="eastAsia" w:ascii="宋体" w:hAnsi="宋体" w:eastAsia="宋体" w:cs="宋体"/>
                <w:i w:val="0"/>
                <w:color w:val="000000"/>
                <w:sz w:val="18"/>
                <w:szCs w:val="18"/>
                <w:u w:val="none"/>
              </w:rPr>
            </w:pPr>
          </w:p>
        </w:tc>
        <w:tc>
          <w:tcPr>
            <w:tcW w:w="5505" w:type="dxa"/>
            <w:tcBorders>
              <w:top w:val="nil"/>
              <w:left w:val="nil"/>
              <w:bottom w:val="nil"/>
              <w:right w:val="single" w:color="000000" w:sz="8" w:space="0"/>
            </w:tcBorders>
            <w:noWrap w:val="0"/>
            <w:vAlign w:val="center"/>
          </w:tcPr>
          <w:p w14:paraId="454EBC09">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（1）驾驶技术优秀得17-20分，驾驶技术良好得13-16分，驾驶技术一般得8-12分，驾驶技术不好或不参加现场测试得0-7分。</w:t>
            </w:r>
          </w:p>
        </w:tc>
        <w:tc>
          <w:tcPr>
            <w:tcW w:w="939" w:type="dxa"/>
            <w:vMerge w:val="continue"/>
            <w:tcBorders>
              <w:top w:val="nil"/>
              <w:left w:val="nil"/>
              <w:bottom w:val="single" w:color="000000" w:sz="8" w:space="0"/>
              <w:right w:val="single" w:color="000000" w:sz="8" w:space="0"/>
            </w:tcBorders>
            <w:noWrap w:val="0"/>
            <w:vAlign w:val="center"/>
          </w:tcPr>
          <w:p w14:paraId="01DC48AC">
            <w:pPr>
              <w:widowControl/>
              <w:jc w:val="center"/>
              <w:textAlignment w:val="center"/>
              <w:rPr>
                <w:rFonts w:hint="eastAsia" w:ascii="宋体" w:hAnsi="宋体" w:eastAsia="宋体" w:cs="宋体"/>
                <w:i w:val="0"/>
                <w:color w:val="000000"/>
                <w:kern w:val="0"/>
                <w:sz w:val="18"/>
                <w:szCs w:val="18"/>
                <w:u w:val="none"/>
                <w:lang w:bidi="ar"/>
              </w:rPr>
            </w:pPr>
          </w:p>
        </w:tc>
      </w:tr>
      <w:tr w14:paraId="1B3F8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0" w:type="dxa"/>
            <w:vMerge w:val="continue"/>
            <w:tcBorders>
              <w:top w:val="nil"/>
              <w:left w:val="single" w:color="000000" w:sz="8" w:space="0"/>
              <w:bottom w:val="single" w:color="000000" w:sz="8" w:space="0"/>
              <w:right w:val="single" w:color="000000" w:sz="8" w:space="0"/>
            </w:tcBorders>
            <w:noWrap w:val="0"/>
            <w:vAlign w:val="center"/>
          </w:tcPr>
          <w:p w14:paraId="61ED08B7">
            <w:pPr>
              <w:jc w:val="center"/>
              <w:rPr>
                <w:rFonts w:hint="eastAsia" w:ascii="宋体" w:hAnsi="宋体" w:eastAsia="宋体" w:cs="宋体"/>
                <w:i w:val="0"/>
                <w:color w:val="000000"/>
                <w:sz w:val="18"/>
                <w:szCs w:val="18"/>
                <w:u w:val="none"/>
              </w:rPr>
            </w:pPr>
          </w:p>
        </w:tc>
        <w:tc>
          <w:tcPr>
            <w:tcW w:w="1468" w:type="dxa"/>
            <w:vMerge w:val="continue"/>
            <w:tcBorders>
              <w:top w:val="nil"/>
              <w:left w:val="nil"/>
              <w:bottom w:val="single" w:color="000000" w:sz="8" w:space="0"/>
              <w:right w:val="single" w:color="000000" w:sz="8" w:space="0"/>
            </w:tcBorders>
            <w:noWrap w:val="0"/>
            <w:vAlign w:val="center"/>
          </w:tcPr>
          <w:p w14:paraId="62BF3C5B">
            <w:pPr>
              <w:jc w:val="center"/>
              <w:rPr>
                <w:rFonts w:hint="eastAsia" w:ascii="宋体" w:hAnsi="宋体" w:eastAsia="宋体" w:cs="宋体"/>
                <w:i w:val="0"/>
                <w:color w:val="000000"/>
                <w:sz w:val="18"/>
                <w:szCs w:val="18"/>
                <w:u w:val="none"/>
              </w:rPr>
            </w:pPr>
          </w:p>
        </w:tc>
        <w:tc>
          <w:tcPr>
            <w:tcW w:w="5505" w:type="dxa"/>
            <w:tcBorders>
              <w:top w:val="nil"/>
              <w:left w:val="nil"/>
              <w:bottom w:val="single" w:color="000000" w:sz="8" w:space="0"/>
              <w:right w:val="single" w:color="000000" w:sz="8" w:space="0"/>
            </w:tcBorders>
            <w:noWrap w:val="0"/>
            <w:vAlign w:val="center"/>
          </w:tcPr>
          <w:p w14:paraId="22E483DD">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（2）服务态度很好得8-10分，服务态度良好得5-7分，服务态度一般得2-4分，服务态度不好或不参加现场测试得0-1分。</w:t>
            </w:r>
          </w:p>
        </w:tc>
        <w:tc>
          <w:tcPr>
            <w:tcW w:w="939" w:type="dxa"/>
            <w:vMerge w:val="continue"/>
            <w:tcBorders>
              <w:top w:val="nil"/>
              <w:left w:val="nil"/>
              <w:bottom w:val="single" w:color="000000" w:sz="8" w:space="0"/>
              <w:right w:val="single" w:color="000000" w:sz="8" w:space="0"/>
            </w:tcBorders>
            <w:noWrap w:val="0"/>
            <w:vAlign w:val="center"/>
          </w:tcPr>
          <w:p w14:paraId="31075C4D">
            <w:pPr>
              <w:widowControl/>
              <w:jc w:val="center"/>
              <w:textAlignment w:val="center"/>
              <w:rPr>
                <w:rFonts w:hint="eastAsia" w:ascii="宋体" w:hAnsi="宋体" w:eastAsia="宋体" w:cs="宋体"/>
                <w:i w:val="0"/>
                <w:color w:val="000000"/>
                <w:kern w:val="0"/>
                <w:sz w:val="18"/>
                <w:szCs w:val="18"/>
                <w:u w:val="none"/>
                <w:lang w:bidi="ar"/>
              </w:rPr>
            </w:pPr>
          </w:p>
        </w:tc>
      </w:tr>
      <w:tr w14:paraId="4EE93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0" w:type="dxa"/>
            <w:vMerge w:val="restart"/>
            <w:tcBorders>
              <w:top w:val="nil"/>
              <w:left w:val="single" w:color="000000" w:sz="8" w:space="0"/>
              <w:bottom w:val="single" w:color="000000" w:sz="8" w:space="0"/>
              <w:right w:val="single" w:color="000000" w:sz="8" w:space="0"/>
            </w:tcBorders>
            <w:noWrap w:val="0"/>
            <w:vAlign w:val="center"/>
          </w:tcPr>
          <w:p w14:paraId="60ED213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468" w:type="dxa"/>
            <w:vMerge w:val="restart"/>
            <w:tcBorders>
              <w:top w:val="nil"/>
              <w:left w:val="nil"/>
              <w:bottom w:val="single" w:color="000000" w:sz="8" w:space="0"/>
              <w:right w:val="single" w:color="000000" w:sz="8" w:space="0"/>
            </w:tcBorders>
            <w:noWrap w:val="0"/>
            <w:vAlign w:val="center"/>
          </w:tcPr>
          <w:p w14:paraId="69DD89B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质量保证措施和应急预案</w:t>
            </w:r>
          </w:p>
        </w:tc>
        <w:tc>
          <w:tcPr>
            <w:tcW w:w="5505" w:type="dxa"/>
            <w:tcBorders>
              <w:top w:val="nil"/>
              <w:left w:val="nil"/>
              <w:bottom w:val="nil"/>
              <w:right w:val="single" w:color="000000" w:sz="8" w:space="0"/>
            </w:tcBorders>
            <w:noWrap w:val="0"/>
            <w:vAlign w:val="center"/>
          </w:tcPr>
          <w:p w14:paraId="7DA1344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根据投标方的服务定位和目标、服务水平符合国家、行业和地方标准、工作重点难点的应对措施及质量保证措施、奖惩措施、应急服务承诺等进行综合评定。无描述不得分。</w:t>
            </w:r>
          </w:p>
        </w:tc>
        <w:tc>
          <w:tcPr>
            <w:tcW w:w="939" w:type="dxa"/>
            <w:vMerge w:val="restart"/>
            <w:tcBorders>
              <w:top w:val="nil"/>
              <w:left w:val="nil"/>
              <w:bottom w:val="single" w:color="000000" w:sz="8" w:space="0"/>
              <w:right w:val="single" w:color="000000" w:sz="8" w:space="0"/>
            </w:tcBorders>
            <w:noWrap w:val="0"/>
            <w:vAlign w:val="center"/>
          </w:tcPr>
          <w:p w14:paraId="5464EB7E">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bidi="ar"/>
              </w:rPr>
            </w:pPr>
            <w:r>
              <w:rPr>
                <w:rFonts w:hint="eastAsia" w:ascii="宋体" w:hAnsi="宋体" w:cs="宋体"/>
                <w:i w:val="0"/>
                <w:color w:val="000000"/>
                <w:kern w:val="0"/>
                <w:sz w:val="18"/>
                <w:szCs w:val="18"/>
                <w:u w:val="none"/>
                <w:lang w:val="en-US" w:eastAsia="zh-CN" w:bidi="ar"/>
              </w:rPr>
              <w:t>10</w:t>
            </w:r>
            <w:r>
              <w:rPr>
                <w:rStyle w:val="29"/>
                <w:kern w:val="0"/>
                <w:sz w:val="18"/>
                <w:szCs w:val="18"/>
                <w:lang w:val="en-US" w:eastAsia="zh-CN" w:bidi="ar"/>
              </w:rPr>
              <w:t>分</w:t>
            </w:r>
          </w:p>
        </w:tc>
      </w:tr>
      <w:tr w14:paraId="63E70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0" w:type="dxa"/>
            <w:vMerge w:val="continue"/>
            <w:tcBorders>
              <w:top w:val="nil"/>
              <w:left w:val="single" w:color="000000" w:sz="8" w:space="0"/>
              <w:bottom w:val="single" w:color="000000" w:sz="8" w:space="0"/>
              <w:right w:val="single" w:color="000000" w:sz="8" w:space="0"/>
            </w:tcBorders>
            <w:noWrap w:val="0"/>
            <w:vAlign w:val="center"/>
          </w:tcPr>
          <w:p w14:paraId="544A1806">
            <w:pPr>
              <w:jc w:val="center"/>
              <w:rPr>
                <w:rFonts w:hint="eastAsia" w:ascii="宋体" w:hAnsi="宋体" w:eastAsia="宋体" w:cs="宋体"/>
                <w:i w:val="0"/>
                <w:color w:val="000000"/>
                <w:sz w:val="18"/>
                <w:szCs w:val="18"/>
                <w:u w:val="none"/>
              </w:rPr>
            </w:pPr>
          </w:p>
        </w:tc>
        <w:tc>
          <w:tcPr>
            <w:tcW w:w="1468" w:type="dxa"/>
            <w:vMerge w:val="continue"/>
            <w:tcBorders>
              <w:top w:val="nil"/>
              <w:left w:val="nil"/>
              <w:bottom w:val="single" w:color="000000" w:sz="8" w:space="0"/>
              <w:right w:val="single" w:color="000000" w:sz="8" w:space="0"/>
            </w:tcBorders>
            <w:noWrap w:val="0"/>
            <w:vAlign w:val="center"/>
          </w:tcPr>
          <w:p w14:paraId="3C45B218">
            <w:pPr>
              <w:jc w:val="center"/>
              <w:rPr>
                <w:rFonts w:hint="eastAsia" w:ascii="宋体" w:hAnsi="宋体" w:eastAsia="宋体" w:cs="宋体"/>
                <w:i w:val="0"/>
                <w:color w:val="000000"/>
                <w:sz w:val="18"/>
                <w:szCs w:val="18"/>
                <w:u w:val="none"/>
              </w:rPr>
            </w:pPr>
          </w:p>
        </w:tc>
        <w:tc>
          <w:tcPr>
            <w:tcW w:w="5505" w:type="dxa"/>
            <w:tcBorders>
              <w:top w:val="nil"/>
              <w:left w:val="nil"/>
              <w:bottom w:val="nil"/>
              <w:right w:val="single" w:color="000000" w:sz="8" w:space="0"/>
            </w:tcBorders>
            <w:noWrap w:val="0"/>
            <w:vAlign w:val="center"/>
          </w:tcPr>
          <w:p w14:paraId="412975A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（1）具有较完善的组织架构，有健全的管理服务制度，有完善的激励机制、监督机制、信息反馈渠道及处理机制，有可靠的服务质量保证措施，服务质量检查、验收方法、应急服务承诺的得</w:t>
            </w:r>
            <w:r>
              <w:rPr>
                <w:rFonts w:hint="eastAsia" w:ascii="宋体" w:hAnsi="宋体" w:cs="宋体"/>
                <w:i w:val="0"/>
                <w:color w:val="000000"/>
                <w:kern w:val="0"/>
                <w:sz w:val="18"/>
                <w:szCs w:val="18"/>
                <w:u w:val="none"/>
                <w:lang w:val="en-US" w:eastAsia="zh-CN" w:bidi="ar"/>
              </w:rPr>
              <w:t>8</w:t>
            </w:r>
            <w:r>
              <w:rPr>
                <w:rFonts w:hint="eastAsia" w:ascii="宋体" w:hAnsi="宋体" w:eastAsia="宋体" w:cs="宋体"/>
                <w:i w:val="0"/>
                <w:color w:val="000000"/>
                <w:kern w:val="0"/>
                <w:sz w:val="18"/>
                <w:szCs w:val="18"/>
                <w:u w:val="none"/>
                <w:lang w:val="en-US" w:eastAsia="zh-CN" w:bidi="ar"/>
              </w:rPr>
              <w:t>-</w:t>
            </w:r>
            <w:r>
              <w:rPr>
                <w:rFonts w:hint="eastAsia" w:ascii="宋体" w:hAnsi="宋体" w:cs="宋体"/>
                <w:i w:val="0"/>
                <w:color w:val="000000"/>
                <w:kern w:val="0"/>
                <w:sz w:val="18"/>
                <w:szCs w:val="18"/>
                <w:u w:val="none"/>
                <w:lang w:val="en-US" w:eastAsia="zh-CN" w:bidi="ar"/>
              </w:rPr>
              <w:t>10</w:t>
            </w:r>
            <w:r>
              <w:rPr>
                <w:rFonts w:hint="eastAsia" w:ascii="宋体" w:hAnsi="宋体" w:eastAsia="宋体" w:cs="宋体"/>
                <w:i w:val="0"/>
                <w:color w:val="000000"/>
                <w:kern w:val="0"/>
                <w:sz w:val="18"/>
                <w:szCs w:val="18"/>
                <w:u w:val="none"/>
                <w:lang w:val="en-US" w:eastAsia="zh-CN" w:bidi="ar"/>
              </w:rPr>
              <w:t>分。</w:t>
            </w:r>
          </w:p>
        </w:tc>
        <w:tc>
          <w:tcPr>
            <w:tcW w:w="939" w:type="dxa"/>
            <w:vMerge w:val="continue"/>
            <w:tcBorders>
              <w:top w:val="nil"/>
              <w:left w:val="nil"/>
              <w:bottom w:val="single" w:color="000000" w:sz="8" w:space="0"/>
              <w:right w:val="single" w:color="000000" w:sz="8" w:space="0"/>
            </w:tcBorders>
            <w:noWrap w:val="0"/>
            <w:vAlign w:val="center"/>
          </w:tcPr>
          <w:p w14:paraId="331A287E">
            <w:pPr>
              <w:jc w:val="center"/>
              <w:rPr>
                <w:rFonts w:hint="eastAsia" w:ascii="宋体" w:hAnsi="宋体" w:eastAsia="宋体" w:cs="宋体"/>
                <w:i w:val="0"/>
                <w:color w:val="000000"/>
                <w:sz w:val="18"/>
                <w:szCs w:val="18"/>
                <w:u w:val="none"/>
              </w:rPr>
            </w:pPr>
          </w:p>
        </w:tc>
      </w:tr>
      <w:tr w14:paraId="6DA3C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0" w:type="dxa"/>
            <w:vMerge w:val="continue"/>
            <w:tcBorders>
              <w:top w:val="nil"/>
              <w:left w:val="single" w:color="000000" w:sz="8" w:space="0"/>
              <w:bottom w:val="single" w:color="000000" w:sz="8" w:space="0"/>
              <w:right w:val="single" w:color="000000" w:sz="8" w:space="0"/>
            </w:tcBorders>
            <w:noWrap w:val="0"/>
            <w:vAlign w:val="center"/>
          </w:tcPr>
          <w:p w14:paraId="53C5C4BE">
            <w:pPr>
              <w:jc w:val="center"/>
              <w:rPr>
                <w:rFonts w:hint="eastAsia" w:ascii="宋体" w:hAnsi="宋体" w:eastAsia="宋体" w:cs="宋体"/>
                <w:i w:val="0"/>
                <w:color w:val="000000"/>
                <w:sz w:val="18"/>
                <w:szCs w:val="18"/>
                <w:u w:val="none"/>
              </w:rPr>
            </w:pPr>
          </w:p>
        </w:tc>
        <w:tc>
          <w:tcPr>
            <w:tcW w:w="1468" w:type="dxa"/>
            <w:vMerge w:val="continue"/>
            <w:tcBorders>
              <w:top w:val="nil"/>
              <w:left w:val="nil"/>
              <w:bottom w:val="single" w:color="000000" w:sz="8" w:space="0"/>
              <w:right w:val="single" w:color="000000" w:sz="8" w:space="0"/>
            </w:tcBorders>
            <w:noWrap w:val="0"/>
            <w:vAlign w:val="center"/>
          </w:tcPr>
          <w:p w14:paraId="7DF32EF7">
            <w:pPr>
              <w:jc w:val="center"/>
              <w:rPr>
                <w:rFonts w:hint="eastAsia" w:ascii="宋体" w:hAnsi="宋体" w:eastAsia="宋体" w:cs="宋体"/>
                <w:i w:val="0"/>
                <w:color w:val="000000"/>
                <w:sz w:val="18"/>
                <w:szCs w:val="18"/>
                <w:u w:val="none"/>
              </w:rPr>
            </w:pPr>
          </w:p>
        </w:tc>
        <w:tc>
          <w:tcPr>
            <w:tcW w:w="5505" w:type="dxa"/>
            <w:tcBorders>
              <w:top w:val="nil"/>
              <w:left w:val="nil"/>
              <w:bottom w:val="nil"/>
              <w:right w:val="single" w:color="000000" w:sz="8" w:space="0"/>
            </w:tcBorders>
            <w:noWrap w:val="0"/>
            <w:vAlign w:val="center"/>
          </w:tcPr>
          <w:p w14:paraId="1738C7E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（2）上述评审内容中提供了所要求的各项组织架构、管理制度、保证措施及检查、应急服务承诺、验收方法和标准，但有缺失的比较合理得</w:t>
            </w:r>
            <w:r>
              <w:rPr>
                <w:rFonts w:hint="eastAsia" w:ascii="宋体" w:hAnsi="宋体" w:cs="宋体"/>
                <w:i w:val="0"/>
                <w:color w:val="000000"/>
                <w:kern w:val="0"/>
                <w:sz w:val="18"/>
                <w:szCs w:val="18"/>
                <w:u w:val="none"/>
                <w:lang w:val="en-US" w:eastAsia="zh-CN" w:bidi="ar"/>
              </w:rPr>
              <w:t>5</w:t>
            </w:r>
            <w:r>
              <w:rPr>
                <w:rFonts w:hint="eastAsia" w:ascii="宋体" w:hAnsi="宋体" w:eastAsia="宋体" w:cs="宋体"/>
                <w:i w:val="0"/>
                <w:color w:val="000000"/>
                <w:kern w:val="0"/>
                <w:sz w:val="18"/>
                <w:szCs w:val="18"/>
                <w:u w:val="none"/>
                <w:lang w:val="en-US" w:eastAsia="zh-CN" w:bidi="ar"/>
              </w:rPr>
              <w:t>-</w:t>
            </w:r>
            <w:r>
              <w:rPr>
                <w:rFonts w:hint="eastAsia" w:ascii="宋体" w:hAnsi="宋体" w:cs="宋体"/>
                <w:i w:val="0"/>
                <w:color w:val="000000"/>
                <w:kern w:val="0"/>
                <w:sz w:val="18"/>
                <w:szCs w:val="18"/>
                <w:u w:val="none"/>
                <w:lang w:val="en-US" w:eastAsia="zh-CN" w:bidi="ar"/>
              </w:rPr>
              <w:t>7</w:t>
            </w:r>
            <w:r>
              <w:rPr>
                <w:rFonts w:hint="eastAsia" w:ascii="宋体" w:hAnsi="宋体" w:eastAsia="宋体" w:cs="宋体"/>
                <w:i w:val="0"/>
                <w:color w:val="000000"/>
                <w:kern w:val="0"/>
                <w:sz w:val="18"/>
                <w:szCs w:val="18"/>
                <w:u w:val="none"/>
                <w:lang w:val="en-US" w:eastAsia="zh-CN" w:bidi="ar"/>
              </w:rPr>
              <w:t>分。</w:t>
            </w:r>
          </w:p>
        </w:tc>
        <w:tc>
          <w:tcPr>
            <w:tcW w:w="939" w:type="dxa"/>
            <w:vMerge w:val="continue"/>
            <w:tcBorders>
              <w:top w:val="nil"/>
              <w:left w:val="nil"/>
              <w:bottom w:val="single" w:color="000000" w:sz="8" w:space="0"/>
              <w:right w:val="single" w:color="000000" w:sz="8" w:space="0"/>
            </w:tcBorders>
            <w:noWrap w:val="0"/>
            <w:vAlign w:val="center"/>
          </w:tcPr>
          <w:p w14:paraId="52198ABF">
            <w:pPr>
              <w:jc w:val="center"/>
              <w:rPr>
                <w:rFonts w:hint="eastAsia" w:ascii="宋体" w:hAnsi="宋体" w:eastAsia="宋体" w:cs="宋体"/>
                <w:i w:val="0"/>
                <w:color w:val="000000"/>
                <w:sz w:val="18"/>
                <w:szCs w:val="18"/>
                <w:u w:val="none"/>
              </w:rPr>
            </w:pPr>
          </w:p>
        </w:tc>
      </w:tr>
      <w:tr w14:paraId="0B701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0" w:type="dxa"/>
            <w:vMerge w:val="continue"/>
            <w:tcBorders>
              <w:top w:val="nil"/>
              <w:left w:val="single" w:color="000000" w:sz="8" w:space="0"/>
              <w:bottom w:val="single" w:color="000000" w:sz="8" w:space="0"/>
              <w:right w:val="single" w:color="000000" w:sz="8" w:space="0"/>
            </w:tcBorders>
            <w:noWrap w:val="0"/>
            <w:vAlign w:val="center"/>
          </w:tcPr>
          <w:p w14:paraId="688C92A3">
            <w:pPr>
              <w:jc w:val="center"/>
              <w:rPr>
                <w:rFonts w:hint="eastAsia" w:ascii="宋体" w:hAnsi="宋体" w:eastAsia="宋体" w:cs="宋体"/>
                <w:i w:val="0"/>
                <w:color w:val="000000"/>
                <w:sz w:val="18"/>
                <w:szCs w:val="18"/>
                <w:u w:val="none"/>
              </w:rPr>
            </w:pPr>
          </w:p>
        </w:tc>
        <w:tc>
          <w:tcPr>
            <w:tcW w:w="1468" w:type="dxa"/>
            <w:vMerge w:val="continue"/>
            <w:tcBorders>
              <w:top w:val="nil"/>
              <w:left w:val="nil"/>
              <w:bottom w:val="single" w:color="000000" w:sz="8" w:space="0"/>
              <w:right w:val="single" w:color="000000" w:sz="8" w:space="0"/>
            </w:tcBorders>
            <w:noWrap w:val="0"/>
            <w:vAlign w:val="center"/>
          </w:tcPr>
          <w:p w14:paraId="7E9107E7">
            <w:pPr>
              <w:jc w:val="center"/>
              <w:rPr>
                <w:rFonts w:hint="eastAsia" w:ascii="宋体" w:hAnsi="宋体" w:eastAsia="宋体" w:cs="宋体"/>
                <w:i w:val="0"/>
                <w:color w:val="000000"/>
                <w:sz w:val="18"/>
                <w:szCs w:val="18"/>
                <w:u w:val="none"/>
              </w:rPr>
            </w:pPr>
          </w:p>
        </w:tc>
        <w:tc>
          <w:tcPr>
            <w:tcW w:w="5505" w:type="dxa"/>
            <w:tcBorders>
              <w:top w:val="nil"/>
              <w:left w:val="nil"/>
              <w:bottom w:val="single" w:color="000000" w:sz="8" w:space="0"/>
              <w:right w:val="single" w:color="000000" w:sz="8" w:space="0"/>
            </w:tcBorders>
            <w:noWrap w:val="0"/>
            <w:vAlign w:val="center"/>
          </w:tcPr>
          <w:p w14:paraId="7C0A12A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（3）上述评审内容中有较多内容缺失或模糊不清的，各项组织架构、管理制度、保证措施及检查、应急服务承诺和标准未能有描述的不合理得0-</w:t>
            </w:r>
            <w:r>
              <w:rPr>
                <w:rFonts w:hint="eastAsia" w:ascii="宋体" w:hAnsi="宋体" w:cs="宋体"/>
                <w:i w:val="0"/>
                <w:color w:val="000000"/>
                <w:kern w:val="0"/>
                <w:sz w:val="18"/>
                <w:szCs w:val="18"/>
                <w:u w:val="none"/>
                <w:lang w:val="en-US" w:eastAsia="zh-CN" w:bidi="ar"/>
              </w:rPr>
              <w:t>4</w:t>
            </w:r>
            <w:r>
              <w:rPr>
                <w:rFonts w:hint="eastAsia" w:ascii="宋体" w:hAnsi="宋体" w:eastAsia="宋体" w:cs="宋体"/>
                <w:i w:val="0"/>
                <w:color w:val="000000"/>
                <w:kern w:val="0"/>
                <w:sz w:val="18"/>
                <w:szCs w:val="18"/>
                <w:u w:val="none"/>
                <w:lang w:val="en-US" w:eastAsia="zh-CN" w:bidi="ar"/>
              </w:rPr>
              <w:t>分。</w:t>
            </w:r>
          </w:p>
        </w:tc>
        <w:tc>
          <w:tcPr>
            <w:tcW w:w="939" w:type="dxa"/>
            <w:vMerge w:val="continue"/>
            <w:tcBorders>
              <w:top w:val="nil"/>
              <w:left w:val="nil"/>
              <w:bottom w:val="single" w:color="000000" w:sz="8" w:space="0"/>
              <w:right w:val="single" w:color="000000" w:sz="8" w:space="0"/>
            </w:tcBorders>
            <w:noWrap w:val="0"/>
            <w:vAlign w:val="center"/>
          </w:tcPr>
          <w:p w14:paraId="38AB311E">
            <w:pPr>
              <w:jc w:val="center"/>
              <w:rPr>
                <w:rFonts w:hint="eastAsia" w:ascii="宋体" w:hAnsi="宋体" w:eastAsia="宋体" w:cs="宋体"/>
                <w:i w:val="0"/>
                <w:color w:val="000000"/>
                <w:sz w:val="18"/>
                <w:szCs w:val="18"/>
                <w:u w:val="none"/>
              </w:rPr>
            </w:pPr>
          </w:p>
        </w:tc>
      </w:tr>
      <w:tr w14:paraId="5C757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0" w:type="dxa"/>
            <w:tcBorders>
              <w:top w:val="nil"/>
              <w:left w:val="single" w:color="000000" w:sz="8" w:space="0"/>
              <w:bottom w:val="single" w:color="000000" w:sz="8" w:space="0"/>
              <w:right w:val="single" w:color="000000" w:sz="8" w:space="0"/>
            </w:tcBorders>
            <w:noWrap w:val="0"/>
            <w:vAlign w:val="center"/>
          </w:tcPr>
          <w:p w14:paraId="2E06FE7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合计</w:t>
            </w:r>
          </w:p>
        </w:tc>
        <w:tc>
          <w:tcPr>
            <w:tcW w:w="7912" w:type="dxa"/>
            <w:gridSpan w:val="3"/>
            <w:tcBorders>
              <w:top w:val="nil"/>
              <w:left w:val="nil"/>
              <w:bottom w:val="single" w:color="000000" w:sz="8" w:space="0"/>
              <w:right w:val="single" w:color="000000" w:sz="8" w:space="0"/>
            </w:tcBorders>
            <w:noWrap w:val="0"/>
            <w:vAlign w:val="center"/>
          </w:tcPr>
          <w:p w14:paraId="6CD05F7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100分</w:t>
            </w:r>
          </w:p>
        </w:tc>
      </w:tr>
    </w:tbl>
    <w:p w14:paraId="7FB6A73F">
      <w:pPr>
        <w:pStyle w:val="18"/>
        <w:widowControl/>
        <w:spacing w:line="600" w:lineRule="exact"/>
        <w:ind w:firstLine="560"/>
        <w:rPr>
          <w:rFonts w:hint="eastAsia" w:ascii="仿宋_GB2312" w:hAnsi="黑体" w:eastAsia="仿宋_GB2312"/>
          <w:sz w:val="28"/>
          <w:szCs w:val="28"/>
          <w:highlight w:val="none"/>
        </w:rPr>
      </w:pPr>
    </w:p>
    <w:p w14:paraId="48BDC7B1">
      <w:pPr>
        <w:widowControl/>
        <w:spacing w:line="600" w:lineRule="exact"/>
        <w:rPr>
          <w:rFonts w:ascii="仿宋_GB2312" w:hAnsi="黑体" w:eastAsia="仿宋_GB2312"/>
          <w:sz w:val="28"/>
          <w:szCs w:val="28"/>
          <w:highlight w:val="none"/>
        </w:rPr>
      </w:pPr>
    </w:p>
    <w:p w14:paraId="61C4FC72">
      <w:pPr>
        <w:pStyle w:val="18"/>
        <w:widowControl/>
        <w:numPr>
          <w:ilvl w:val="0"/>
          <w:numId w:val="1"/>
        </w:numPr>
        <w:spacing w:line="600" w:lineRule="exact"/>
        <w:ind w:firstLineChars="0"/>
        <w:jc w:val="center"/>
        <w:outlineLvl w:val="0"/>
        <w:rPr>
          <w:rFonts w:ascii="仿宋_GB2312" w:hAnsi="黑体" w:eastAsia="仿宋_GB2312"/>
          <w:b/>
          <w:sz w:val="28"/>
          <w:szCs w:val="28"/>
          <w:highlight w:val="none"/>
        </w:rPr>
      </w:pPr>
      <w:bookmarkStart w:id="11" w:name="_Toc11603"/>
      <w:r>
        <w:rPr>
          <w:rFonts w:hint="eastAsia" w:ascii="仿宋_GB2312" w:hAnsi="黑体" w:eastAsia="仿宋_GB2312"/>
          <w:b/>
          <w:sz w:val="28"/>
          <w:szCs w:val="28"/>
          <w:highlight w:val="none"/>
        </w:rPr>
        <w:t>响应文件要求</w:t>
      </w:r>
      <w:bookmarkEnd w:id="11"/>
    </w:p>
    <w:p w14:paraId="0214C237">
      <w:pPr>
        <w:pStyle w:val="18"/>
        <w:widowControl/>
        <w:numPr>
          <w:ilvl w:val="0"/>
          <w:numId w:val="0"/>
        </w:numPr>
        <w:spacing w:line="600" w:lineRule="exact"/>
        <w:ind w:leftChars="0"/>
        <w:jc w:val="both"/>
        <w:outlineLvl w:val="0"/>
        <w:rPr>
          <w:rFonts w:ascii="仿宋_GB2312" w:hAnsi="黑体" w:eastAsia="仿宋_GB2312"/>
          <w:b/>
          <w:sz w:val="28"/>
          <w:szCs w:val="28"/>
          <w:highlight w:val="none"/>
        </w:rPr>
      </w:pPr>
    </w:p>
    <w:p w14:paraId="43E61FFA">
      <w:pPr>
        <w:pStyle w:val="18"/>
        <w:numPr>
          <w:ilvl w:val="0"/>
          <w:numId w:val="6"/>
        </w:numPr>
        <w:spacing w:line="600" w:lineRule="exact"/>
        <w:ind w:firstLineChars="0"/>
        <w:outlineLvl w:val="1"/>
        <w:rPr>
          <w:rFonts w:ascii="仿宋_GB2312" w:hAnsi="黑体" w:eastAsia="仿宋_GB2312"/>
          <w:b/>
          <w:bCs/>
          <w:sz w:val="28"/>
          <w:szCs w:val="28"/>
          <w:highlight w:val="none"/>
        </w:rPr>
      </w:pPr>
      <w:bookmarkStart w:id="12" w:name="_Toc21217"/>
      <w:r>
        <w:rPr>
          <w:rFonts w:hint="eastAsia" w:ascii="仿宋_GB2312" w:hAnsi="黑体" w:eastAsia="仿宋_GB2312"/>
          <w:b/>
          <w:bCs/>
          <w:sz w:val="28"/>
          <w:szCs w:val="28"/>
          <w:highlight w:val="none"/>
        </w:rPr>
        <w:t>响应文件编制</w:t>
      </w:r>
      <w:bookmarkEnd w:id="12"/>
    </w:p>
    <w:p w14:paraId="05D37FF0">
      <w:pPr>
        <w:pStyle w:val="18"/>
        <w:numPr>
          <w:ilvl w:val="0"/>
          <w:numId w:val="7"/>
        </w:numPr>
        <w:spacing w:line="600" w:lineRule="exact"/>
        <w:ind w:firstLineChars="0"/>
        <w:rPr>
          <w:rFonts w:ascii="仿宋_GB2312" w:hAnsi="黑体" w:eastAsia="仿宋_GB2312"/>
          <w:sz w:val="28"/>
          <w:szCs w:val="28"/>
          <w:highlight w:val="none"/>
        </w:rPr>
      </w:pPr>
      <w:r>
        <w:rPr>
          <w:rFonts w:hint="eastAsia" w:ascii="仿宋_GB2312" w:hAnsi="黑体" w:eastAsia="仿宋_GB2312"/>
          <w:sz w:val="28"/>
          <w:szCs w:val="28"/>
          <w:highlight w:val="none"/>
        </w:rPr>
        <w:t>供应商响应文件需包含以下部分：</w:t>
      </w:r>
    </w:p>
    <w:p w14:paraId="3C0959E8">
      <w:pPr>
        <w:pStyle w:val="18"/>
        <w:numPr>
          <w:ilvl w:val="0"/>
          <w:numId w:val="8"/>
        </w:numPr>
        <w:spacing w:line="600" w:lineRule="exact"/>
        <w:ind w:firstLineChars="0"/>
        <w:rPr>
          <w:rFonts w:ascii="仿宋_GB2312" w:hAnsi="黑体" w:eastAsia="仿宋_GB2312"/>
          <w:sz w:val="28"/>
          <w:szCs w:val="28"/>
          <w:highlight w:val="none"/>
        </w:rPr>
      </w:pPr>
      <w:r>
        <w:rPr>
          <w:rFonts w:hint="eastAsia" w:ascii="仿宋_GB2312" w:hAnsi="黑体" w:eastAsia="仿宋_GB2312"/>
          <w:sz w:val="28"/>
          <w:szCs w:val="28"/>
          <w:highlight w:val="none"/>
          <w:lang w:val="en-US" w:eastAsia="zh-CN"/>
        </w:rPr>
        <w:t>根据第三章《供应商须知》提供的供应商资质文件；</w:t>
      </w:r>
    </w:p>
    <w:p w14:paraId="7CCA9B59">
      <w:pPr>
        <w:pStyle w:val="18"/>
        <w:numPr>
          <w:ilvl w:val="0"/>
          <w:numId w:val="8"/>
        </w:numPr>
        <w:spacing w:line="600" w:lineRule="exact"/>
        <w:ind w:firstLineChars="0"/>
        <w:rPr>
          <w:rFonts w:ascii="仿宋_GB2312" w:hAnsi="黑体" w:eastAsia="仿宋_GB2312"/>
          <w:sz w:val="28"/>
          <w:szCs w:val="28"/>
          <w:highlight w:val="none"/>
        </w:rPr>
      </w:pPr>
      <w:r>
        <w:rPr>
          <w:rFonts w:hint="eastAsia" w:ascii="仿宋_GB2312" w:hAnsi="黑体" w:eastAsia="仿宋_GB2312"/>
          <w:sz w:val="28"/>
          <w:szCs w:val="28"/>
          <w:highlight w:val="none"/>
        </w:rPr>
        <w:t>根据第二章《采购内容及要求》提供的</w:t>
      </w:r>
      <w:r>
        <w:rPr>
          <w:rFonts w:hint="eastAsia" w:ascii="仿宋_GB2312" w:hAnsi="黑体" w:eastAsia="仿宋_GB2312"/>
          <w:sz w:val="28"/>
          <w:szCs w:val="28"/>
          <w:highlight w:val="none"/>
          <w:lang w:eastAsia="zh-CN"/>
        </w:rPr>
        <w:t>书面</w:t>
      </w:r>
      <w:r>
        <w:rPr>
          <w:rFonts w:hint="eastAsia" w:ascii="仿宋_GB2312" w:hAnsi="黑体" w:eastAsia="仿宋_GB2312"/>
          <w:sz w:val="28"/>
          <w:szCs w:val="28"/>
          <w:highlight w:val="none"/>
        </w:rPr>
        <w:t>服务</w:t>
      </w:r>
      <w:r>
        <w:rPr>
          <w:rFonts w:hint="eastAsia" w:ascii="仿宋_GB2312" w:hAnsi="黑体" w:eastAsia="仿宋_GB2312"/>
          <w:sz w:val="28"/>
          <w:szCs w:val="28"/>
          <w:highlight w:val="none"/>
          <w:lang w:eastAsia="zh-CN"/>
        </w:rPr>
        <w:t>承诺</w:t>
      </w:r>
      <w:r>
        <w:rPr>
          <w:rFonts w:hint="eastAsia" w:ascii="仿宋_GB2312" w:hAnsi="黑体" w:eastAsia="仿宋_GB2312"/>
          <w:sz w:val="28"/>
          <w:szCs w:val="28"/>
          <w:highlight w:val="none"/>
        </w:rPr>
        <w:t>；</w:t>
      </w:r>
    </w:p>
    <w:p w14:paraId="48919E57">
      <w:pPr>
        <w:pStyle w:val="18"/>
        <w:numPr>
          <w:ilvl w:val="0"/>
          <w:numId w:val="8"/>
        </w:numPr>
        <w:spacing w:line="600" w:lineRule="exact"/>
        <w:ind w:firstLineChars="0"/>
        <w:rPr>
          <w:rFonts w:ascii="仿宋_GB2312" w:hAnsi="黑体" w:eastAsia="仿宋_GB2312"/>
          <w:sz w:val="28"/>
          <w:szCs w:val="28"/>
          <w:highlight w:val="none"/>
        </w:rPr>
      </w:pPr>
      <w:r>
        <w:rPr>
          <w:rFonts w:hint="eastAsia" w:ascii="仿宋_GB2312" w:hAnsi="黑体" w:eastAsia="仿宋_GB2312"/>
          <w:sz w:val="28"/>
          <w:szCs w:val="28"/>
          <w:highlight w:val="none"/>
        </w:rPr>
        <w:t>报价文件。</w:t>
      </w:r>
    </w:p>
    <w:p w14:paraId="69DAA888">
      <w:pPr>
        <w:pStyle w:val="18"/>
        <w:numPr>
          <w:ilvl w:val="0"/>
          <w:numId w:val="7"/>
        </w:numPr>
        <w:spacing w:line="600" w:lineRule="exact"/>
        <w:ind w:left="0" w:firstLine="0" w:firstLineChars="0"/>
        <w:rPr>
          <w:rFonts w:ascii="仿宋_GB2312" w:hAnsi="黑体" w:eastAsia="仿宋_GB2312"/>
          <w:sz w:val="28"/>
          <w:szCs w:val="28"/>
          <w:highlight w:val="none"/>
        </w:rPr>
      </w:pPr>
      <w:r>
        <w:rPr>
          <w:rFonts w:hint="eastAsia" w:ascii="仿宋_GB2312" w:hAnsi="黑体" w:eastAsia="仿宋_GB2312"/>
          <w:sz w:val="28"/>
          <w:szCs w:val="28"/>
          <w:highlight w:val="none"/>
        </w:rPr>
        <w:t>供应商应准备</w:t>
      </w:r>
      <w:r>
        <w:rPr>
          <w:rFonts w:hint="eastAsia" w:ascii="仿宋_GB2312" w:hAnsi="黑体" w:eastAsia="仿宋_GB2312"/>
          <w:sz w:val="28"/>
          <w:szCs w:val="28"/>
          <w:highlight w:val="none"/>
          <w:lang w:val="en-US" w:eastAsia="zh-CN"/>
        </w:rPr>
        <w:t>3</w:t>
      </w:r>
      <w:r>
        <w:rPr>
          <w:rFonts w:hint="eastAsia" w:ascii="仿宋_GB2312" w:hAnsi="黑体" w:eastAsia="仿宋_GB2312"/>
          <w:sz w:val="28"/>
          <w:szCs w:val="28"/>
          <w:highlight w:val="none"/>
        </w:rPr>
        <w:t>份响应文件，</w:t>
      </w:r>
      <w:r>
        <w:rPr>
          <w:rFonts w:hint="eastAsia" w:ascii="仿宋_GB2312" w:hAnsi="黑体" w:eastAsia="仿宋_GB2312"/>
          <w:sz w:val="28"/>
          <w:szCs w:val="28"/>
          <w:highlight w:val="none"/>
          <w:lang w:val="en-US" w:eastAsia="zh-CN"/>
        </w:rPr>
        <w:t>1份正本，2份副本，</w:t>
      </w:r>
      <w:r>
        <w:rPr>
          <w:rFonts w:hint="eastAsia" w:ascii="仿宋_GB2312" w:hAnsi="黑体" w:eastAsia="仿宋_GB2312"/>
          <w:sz w:val="28"/>
          <w:szCs w:val="28"/>
          <w:highlight w:val="none"/>
        </w:rPr>
        <w:t>每份响应文件均需加盖供应商公章。</w:t>
      </w:r>
      <w:r>
        <w:rPr>
          <w:rFonts w:hint="eastAsia" w:ascii="仿宋_GB2312" w:hAnsi="黑体" w:eastAsia="仿宋_GB2312"/>
          <w:sz w:val="28"/>
          <w:szCs w:val="28"/>
          <w:highlight w:val="none"/>
          <w:lang w:eastAsia="zh-CN"/>
        </w:rPr>
        <w:t>同时提供</w:t>
      </w:r>
      <w:r>
        <w:rPr>
          <w:rFonts w:hint="eastAsia" w:ascii="仿宋_GB2312" w:hAnsi="黑体" w:eastAsia="仿宋_GB2312"/>
          <w:sz w:val="28"/>
          <w:szCs w:val="28"/>
          <w:highlight w:val="none"/>
          <w:lang w:val="en-US" w:eastAsia="zh-CN"/>
        </w:rPr>
        <w:t>1份含正本盖章扫描件的usb。</w:t>
      </w:r>
    </w:p>
    <w:p w14:paraId="2D2D9592">
      <w:pPr>
        <w:pStyle w:val="18"/>
        <w:numPr>
          <w:ilvl w:val="0"/>
          <w:numId w:val="7"/>
        </w:numPr>
        <w:spacing w:line="600" w:lineRule="exact"/>
        <w:ind w:left="0" w:firstLine="0" w:firstLineChars="0"/>
        <w:rPr>
          <w:rFonts w:ascii="仿宋_GB2312" w:hAnsi="黑体" w:eastAsia="仿宋_GB2312"/>
          <w:sz w:val="28"/>
          <w:szCs w:val="28"/>
          <w:highlight w:val="none"/>
        </w:rPr>
      </w:pPr>
      <w:r>
        <w:rPr>
          <w:rFonts w:hint="eastAsia" w:ascii="仿宋_GB2312" w:hAnsi="黑体" w:eastAsia="仿宋_GB2312"/>
          <w:sz w:val="28"/>
          <w:szCs w:val="28"/>
          <w:highlight w:val="none"/>
        </w:rPr>
        <w:t>所有响应文件均采用封袋整体密封，在规定的</w:t>
      </w:r>
      <w:r>
        <w:rPr>
          <w:rFonts w:hint="eastAsia" w:ascii="仿宋_GB2312" w:hAnsi="黑体" w:eastAsia="仿宋_GB2312"/>
          <w:sz w:val="28"/>
          <w:szCs w:val="28"/>
          <w:highlight w:val="none"/>
          <w:lang w:val="en-US" w:eastAsia="zh-CN"/>
        </w:rPr>
        <w:t>磋商</w:t>
      </w:r>
      <w:r>
        <w:rPr>
          <w:rFonts w:hint="eastAsia" w:ascii="仿宋_GB2312" w:hAnsi="黑体" w:eastAsia="仿宋_GB2312"/>
          <w:sz w:val="28"/>
          <w:szCs w:val="28"/>
          <w:highlight w:val="none"/>
        </w:rPr>
        <w:t>时间前不得启封。在封袋正面标明项目名称、供应商名称等内容。</w:t>
      </w:r>
    </w:p>
    <w:p w14:paraId="38A8CF57">
      <w:pPr>
        <w:pStyle w:val="18"/>
        <w:numPr>
          <w:ilvl w:val="0"/>
          <w:numId w:val="7"/>
        </w:numPr>
        <w:spacing w:line="600" w:lineRule="exact"/>
        <w:ind w:left="0" w:firstLine="0" w:firstLineChars="0"/>
        <w:rPr>
          <w:rFonts w:ascii="仿宋_GB2312" w:hAnsi="黑体" w:eastAsia="仿宋_GB2312"/>
          <w:sz w:val="28"/>
          <w:szCs w:val="28"/>
          <w:highlight w:val="none"/>
        </w:rPr>
      </w:pPr>
      <w:r>
        <w:rPr>
          <w:rFonts w:hint="eastAsia" w:ascii="仿宋_GB2312" w:hAnsi="黑体" w:eastAsia="仿宋_GB2312"/>
          <w:sz w:val="28"/>
          <w:szCs w:val="28"/>
          <w:highlight w:val="none"/>
        </w:rPr>
        <w:t>供应商须在响应文件中明确对合同初稿的接受情况。供应商应对是否接受合同初稿做出明确表示。如有异议的，应当在响应文件中写明修改意见和修改理由。</w:t>
      </w:r>
    </w:p>
    <w:p w14:paraId="6F6C6B6A">
      <w:pPr>
        <w:pStyle w:val="18"/>
        <w:numPr>
          <w:ilvl w:val="0"/>
          <w:numId w:val="6"/>
        </w:numPr>
        <w:spacing w:line="600" w:lineRule="exact"/>
        <w:ind w:firstLineChars="0"/>
        <w:outlineLvl w:val="1"/>
        <w:rPr>
          <w:rFonts w:ascii="仿宋_GB2312" w:hAnsi="黑体" w:eastAsia="仿宋_GB2312"/>
          <w:b/>
          <w:bCs/>
          <w:sz w:val="28"/>
          <w:szCs w:val="28"/>
          <w:highlight w:val="none"/>
        </w:rPr>
      </w:pPr>
      <w:bookmarkStart w:id="13" w:name="_Toc31459"/>
      <w:r>
        <w:rPr>
          <w:rFonts w:hint="eastAsia" w:ascii="仿宋_GB2312" w:hAnsi="黑体" w:eastAsia="仿宋_GB2312"/>
          <w:b/>
          <w:bCs/>
          <w:sz w:val="28"/>
          <w:szCs w:val="28"/>
          <w:highlight w:val="none"/>
        </w:rPr>
        <w:t>响应文件有效期</w:t>
      </w:r>
      <w:bookmarkEnd w:id="13"/>
    </w:p>
    <w:p w14:paraId="18932FE7">
      <w:pPr>
        <w:pStyle w:val="18"/>
        <w:widowControl/>
        <w:spacing w:line="600" w:lineRule="exact"/>
        <w:ind w:firstLine="560"/>
        <w:rPr>
          <w:rFonts w:ascii="仿宋_GB2312" w:hAnsi="黑体" w:eastAsia="仿宋_GB2312"/>
          <w:sz w:val="28"/>
          <w:szCs w:val="28"/>
          <w:highlight w:val="none"/>
        </w:rPr>
      </w:pPr>
      <w:r>
        <w:rPr>
          <w:rFonts w:hint="eastAsia" w:ascii="仿宋_GB2312" w:hAnsi="黑体" w:eastAsia="仿宋_GB2312"/>
          <w:sz w:val="28"/>
          <w:szCs w:val="28"/>
          <w:highlight w:val="none"/>
        </w:rPr>
        <w:t>有效期至竞争性磋商结束之日，对成交供应商，延长至合同执行完毕时止。</w:t>
      </w:r>
    </w:p>
    <w:p w14:paraId="4853294A">
      <w:pPr>
        <w:pStyle w:val="18"/>
        <w:numPr>
          <w:ilvl w:val="0"/>
          <w:numId w:val="6"/>
        </w:numPr>
        <w:spacing w:line="600" w:lineRule="exact"/>
        <w:ind w:firstLineChars="0"/>
        <w:outlineLvl w:val="1"/>
        <w:rPr>
          <w:rFonts w:ascii="仿宋_GB2312" w:hAnsi="黑体" w:eastAsia="仿宋_GB2312"/>
          <w:b/>
          <w:bCs/>
          <w:sz w:val="28"/>
          <w:szCs w:val="28"/>
          <w:highlight w:val="none"/>
        </w:rPr>
      </w:pPr>
      <w:bookmarkStart w:id="14" w:name="_Toc20168"/>
      <w:r>
        <w:rPr>
          <w:rFonts w:hint="eastAsia" w:ascii="仿宋_GB2312" w:hAnsi="黑体" w:eastAsia="仿宋_GB2312"/>
          <w:b/>
          <w:bCs/>
          <w:sz w:val="28"/>
          <w:szCs w:val="28"/>
          <w:highlight w:val="none"/>
        </w:rPr>
        <w:t>响应文件递交</w:t>
      </w:r>
      <w:bookmarkEnd w:id="14"/>
    </w:p>
    <w:p w14:paraId="2EACEAD2">
      <w:pPr>
        <w:widowControl/>
        <w:spacing w:line="600" w:lineRule="exact"/>
        <w:ind w:firstLine="560" w:firstLineChars="200"/>
        <w:jc w:val="left"/>
        <w:rPr>
          <w:rFonts w:hint="eastAsia" w:ascii="仿宋_GB2312" w:hAnsi="黑体" w:eastAsia="仿宋_GB2312"/>
          <w:sz w:val="28"/>
          <w:szCs w:val="28"/>
          <w:highlight w:val="none"/>
        </w:rPr>
      </w:pPr>
      <w:r>
        <w:rPr>
          <w:rFonts w:hint="eastAsia" w:ascii="仿宋_GB2312" w:hAnsi="黑体" w:eastAsia="仿宋_GB2312"/>
          <w:sz w:val="28"/>
          <w:szCs w:val="28"/>
          <w:highlight w:val="none"/>
        </w:rPr>
        <w:t>供应商应将响应文件在截止时间前通过邮寄或当面提交的形式送至提交地点。在截止时间后送达的响应文件为无效文件，采购人将予以拒收。</w:t>
      </w:r>
    </w:p>
    <w:p w14:paraId="18BB997E">
      <w:pPr>
        <w:pStyle w:val="18"/>
        <w:widowControl/>
        <w:numPr>
          <w:ilvl w:val="-1"/>
          <w:numId w:val="0"/>
        </w:numPr>
        <w:spacing w:line="600" w:lineRule="exact"/>
        <w:ind w:left="0" w:leftChars="0" w:firstLine="0" w:firstLineChars="0"/>
        <w:jc w:val="center"/>
        <w:outlineLvl w:val="0"/>
        <w:rPr>
          <w:rFonts w:hint="eastAsia" w:ascii="仿宋_GB2312" w:hAnsi="黑体" w:eastAsia="仿宋_GB2312"/>
          <w:b/>
          <w:sz w:val="28"/>
          <w:szCs w:val="28"/>
          <w:highlight w:val="none"/>
          <w:lang w:val="en-US" w:eastAsia="zh-CN"/>
        </w:rPr>
      </w:pPr>
      <w:r>
        <w:rPr>
          <w:rFonts w:hint="eastAsia" w:ascii="仿宋_GB2312" w:hAnsi="黑体" w:eastAsia="仿宋_GB2312"/>
          <w:b/>
          <w:sz w:val="28"/>
          <w:szCs w:val="28"/>
          <w:highlight w:val="none"/>
          <w:lang w:val="en-US" w:eastAsia="zh-CN"/>
        </w:rPr>
        <w:t>第五章 合同条款</w:t>
      </w:r>
    </w:p>
    <w:p w14:paraId="775B0003">
      <w:pPr>
        <w:spacing w:line="360" w:lineRule="auto"/>
        <w:rPr>
          <w:rFonts w:ascii="仿宋" w:hAnsi="仿宋" w:eastAsia="仿宋"/>
          <w:sz w:val="20"/>
          <w:szCs w:val="24"/>
        </w:rPr>
      </w:pPr>
    </w:p>
    <w:p w14:paraId="52A67C88">
      <w:pPr>
        <w:spacing w:line="360" w:lineRule="auto"/>
        <w:rPr>
          <w:rFonts w:ascii="黑体" w:hAnsi="黑体" w:eastAsia="黑体"/>
          <w:sz w:val="24"/>
          <w:szCs w:val="24"/>
        </w:rPr>
      </w:pPr>
      <w:r>
        <w:rPr>
          <w:rFonts w:hint="eastAsia" w:ascii="黑体" w:hAnsi="黑体" w:eastAsia="黑体"/>
          <w:sz w:val="24"/>
          <w:szCs w:val="24"/>
        </w:rPr>
        <w:t>一、租用事项</w:t>
      </w:r>
    </w:p>
    <w:p w14:paraId="3D8E0C95">
      <w:pPr>
        <w:pStyle w:val="28"/>
        <w:numPr>
          <w:ilvl w:val="0"/>
          <w:numId w:val="9"/>
        </w:numPr>
        <w:spacing w:line="360" w:lineRule="auto"/>
        <w:ind w:firstLineChars="0"/>
        <w:rPr>
          <w:rFonts w:ascii="仿宋" w:hAnsi="仿宋" w:eastAsia="仿宋"/>
          <w:sz w:val="24"/>
          <w:szCs w:val="24"/>
        </w:rPr>
      </w:pPr>
      <w:r>
        <w:rPr>
          <w:rFonts w:hint="eastAsia" w:ascii="仿宋" w:hAnsi="仿宋" w:eastAsia="仿宋"/>
          <w:sz w:val="24"/>
          <w:szCs w:val="24"/>
        </w:rPr>
        <w:t>在本协议有效期内,乙方按甲方要求指派驾驶员提供驾驶服务。</w:t>
      </w:r>
    </w:p>
    <w:p w14:paraId="23D957A9">
      <w:pPr>
        <w:pStyle w:val="28"/>
        <w:numPr>
          <w:ilvl w:val="0"/>
          <w:numId w:val="9"/>
        </w:numPr>
        <w:spacing w:line="360" w:lineRule="auto"/>
        <w:ind w:firstLineChars="0"/>
        <w:rPr>
          <w:rFonts w:ascii="仿宋" w:hAnsi="仿宋" w:eastAsia="仿宋"/>
          <w:sz w:val="24"/>
          <w:szCs w:val="24"/>
        </w:rPr>
      </w:pPr>
      <w:r>
        <w:rPr>
          <w:rFonts w:hint="eastAsia" w:ascii="仿宋" w:hAnsi="仿宋" w:eastAsia="仿宋"/>
          <w:sz w:val="24"/>
          <w:szCs w:val="24"/>
        </w:rPr>
        <w:t>甲方按照本协议</w:t>
      </w:r>
      <w:r>
        <w:rPr>
          <w:rFonts w:hint="eastAsia" w:ascii="仿宋" w:hAnsi="仿宋" w:eastAsia="仿宋"/>
          <w:sz w:val="24"/>
          <w:szCs w:val="24"/>
          <w:lang w:eastAsia="zh-CN"/>
        </w:rPr>
        <w:t>规</w:t>
      </w:r>
      <w:r>
        <w:rPr>
          <w:rFonts w:hint="eastAsia" w:ascii="仿宋" w:hAnsi="仿宋" w:eastAsia="仿宋"/>
          <w:sz w:val="24"/>
          <w:szCs w:val="24"/>
        </w:rPr>
        <w:t>定向乙方支付费用。</w:t>
      </w:r>
    </w:p>
    <w:p w14:paraId="1CF2E5C0">
      <w:pPr>
        <w:pStyle w:val="28"/>
        <w:numPr>
          <w:ilvl w:val="0"/>
          <w:numId w:val="9"/>
        </w:numPr>
        <w:spacing w:line="360" w:lineRule="auto"/>
        <w:ind w:firstLineChars="0"/>
        <w:rPr>
          <w:rFonts w:ascii="仿宋" w:hAnsi="仿宋" w:eastAsia="仿宋"/>
          <w:sz w:val="24"/>
          <w:szCs w:val="24"/>
        </w:rPr>
      </w:pPr>
      <w:r>
        <w:rPr>
          <w:rFonts w:hint="eastAsia" w:ascii="仿宋" w:hAnsi="仿宋" w:eastAsia="仿宋"/>
          <w:sz w:val="24"/>
          <w:szCs w:val="24"/>
        </w:rPr>
        <w:t>乙方指派到甲方的驾驶员劳动关系在乙方,与甲方不存在劳动合同关系。乙方应当对驾驶员承担</w:t>
      </w:r>
      <w:r>
        <w:rPr>
          <w:rFonts w:hint="eastAsia" w:ascii="仿宋" w:hAnsi="仿宋" w:eastAsia="仿宋"/>
          <w:sz w:val="24"/>
          <w:szCs w:val="24"/>
          <w:lang w:eastAsia="zh-CN"/>
        </w:rPr>
        <w:t>《中华人民共和国劳动法》</w:t>
      </w:r>
      <w:r>
        <w:rPr>
          <w:rFonts w:hint="eastAsia" w:ascii="仿宋" w:hAnsi="仿宋" w:eastAsia="仿宋"/>
          <w:sz w:val="24"/>
          <w:szCs w:val="24"/>
        </w:rPr>
        <w:t>下用人单位的全部义务和责任；甲方无需向驾驶员承担</w:t>
      </w:r>
      <w:r>
        <w:rPr>
          <w:rFonts w:hint="eastAsia" w:ascii="仿宋" w:hAnsi="仿宋" w:eastAsia="仿宋"/>
          <w:sz w:val="24"/>
          <w:szCs w:val="24"/>
          <w:lang w:eastAsia="zh-CN"/>
        </w:rPr>
        <w:t>《中华人民共和国劳动法》</w:t>
      </w:r>
      <w:r>
        <w:rPr>
          <w:rFonts w:hint="eastAsia" w:ascii="仿宋" w:hAnsi="仿宋" w:eastAsia="仿宋"/>
          <w:sz w:val="24"/>
          <w:szCs w:val="24"/>
        </w:rPr>
        <w:t>下用人单位的任何义务和责任。</w:t>
      </w:r>
    </w:p>
    <w:p w14:paraId="3257D7B4">
      <w:pPr>
        <w:spacing w:line="360" w:lineRule="auto"/>
        <w:rPr>
          <w:rFonts w:ascii="黑体" w:hAnsi="黑体" w:eastAsia="黑体"/>
          <w:sz w:val="24"/>
          <w:szCs w:val="24"/>
        </w:rPr>
      </w:pPr>
      <w:r>
        <w:rPr>
          <w:rFonts w:hint="eastAsia" w:ascii="黑体" w:hAnsi="黑体" w:eastAsia="黑体"/>
          <w:sz w:val="24"/>
          <w:szCs w:val="24"/>
        </w:rPr>
        <w:t>二</w:t>
      </w:r>
      <w:r>
        <w:rPr>
          <w:rFonts w:ascii="黑体" w:hAnsi="黑体" w:eastAsia="黑体"/>
          <w:sz w:val="24"/>
          <w:szCs w:val="24"/>
        </w:rPr>
        <w:t>、</w:t>
      </w:r>
      <w:r>
        <w:rPr>
          <w:rFonts w:hint="eastAsia" w:ascii="黑体" w:hAnsi="黑体" w:eastAsia="黑体"/>
          <w:sz w:val="24"/>
          <w:szCs w:val="24"/>
        </w:rPr>
        <w:t>服务内容</w:t>
      </w:r>
    </w:p>
    <w:p w14:paraId="5819E2BD">
      <w:pPr>
        <w:pStyle w:val="28"/>
        <w:numPr>
          <w:ilvl w:val="0"/>
          <w:numId w:val="10"/>
        </w:numPr>
        <w:spacing w:line="360" w:lineRule="auto"/>
        <w:ind w:firstLineChars="0"/>
        <w:rPr>
          <w:rFonts w:ascii="仿宋" w:hAnsi="仿宋" w:eastAsia="仿宋"/>
          <w:sz w:val="24"/>
          <w:szCs w:val="24"/>
        </w:rPr>
      </w:pPr>
      <w:r>
        <w:rPr>
          <w:rFonts w:hint="eastAsia" w:ascii="仿宋" w:hAnsi="仿宋" w:eastAsia="仿宋"/>
          <w:sz w:val="24"/>
          <w:szCs w:val="24"/>
        </w:rPr>
        <w:t>乙方指派驾驶人员至甲方工作,为甲方提供驾驶服务。具体服务时间为甲方每个工作日的工作时间。具体服务地点为甲方指定地点。</w:t>
      </w:r>
    </w:p>
    <w:p w14:paraId="058ECFC9">
      <w:pPr>
        <w:pStyle w:val="28"/>
        <w:numPr>
          <w:ilvl w:val="0"/>
          <w:numId w:val="10"/>
        </w:numPr>
        <w:spacing w:line="360" w:lineRule="auto"/>
        <w:ind w:firstLineChars="0"/>
        <w:rPr>
          <w:rFonts w:ascii="仿宋" w:hAnsi="仿宋" w:eastAsia="仿宋"/>
          <w:sz w:val="24"/>
          <w:szCs w:val="24"/>
        </w:rPr>
      </w:pPr>
      <w:r>
        <w:rPr>
          <w:rFonts w:hint="eastAsia" w:ascii="仿宋" w:hAnsi="仿宋" w:eastAsia="仿宋"/>
          <w:sz w:val="24"/>
          <w:szCs w:val="24"/>
        </w:rPr>
        <w:t>甲方可根据需要对服务时间(包括正常工作时间之外的时间)和地点进行调整(包括上海市区之外的地区),但应事先通知乙方指派的驾驶员并符合国家《劳动法》规定。</w:t>
      </w:r>
    </w:p>
    <w:p w14:paraId="66F9D60A">
      <w:pPr>
        <w:pStyle w:val="28"/>
        <w:numPr>
          <w:ilvl w:val="0"/>
          <w:numId w:val="10"/>
        </w:numPr>
        <w:spacing w:line="360" w:lineRule="auto"/>
        <w:ind w:firstLineChars="0"/>
        <w:rPr>
          <w:rFonts w:ascii="仿宋" w:hAnsi="仿宋" w:eastAsia="仿宋"/>
          <w:sz w:val="24"/>
          <w:szCs w:val="24"/>
        </w:rPr>
      </w:pPr>
      <w:r>
        <w:rPr>
          <w:rFonts w:hint="eastAsia" w:ascii="仿宋" w:hAnsi="仿宋" w:eastAsia="仿宋"/>
          <w:sz w:val="24"/>
          <w:szCs w:val="24"/>
        </w:rPr>
        <w:t>乙方指派的驾驶员为甲方提供驾驶服务期间,应对其驾驶的甲方车辆进行例行保养和维修。在驾驶员为甲方提供服务前,乙方应当已对驾驶员进行了充分和适当的培训,使得驾驶员具有履行本协议项下服务的能力和技能。</w:t>
      </w:r>
    </w:p>
    <w:p w14:paraId="7ECFAD6C">
      <w:pPr>
        <w:spacing w:line="360" w:lineRule="auto"/>
        <w:rPr>
          <w:rFonts w:ascii="仿宋" w:hAnsi="仿宋" w:eastAsia="仿宋"/>
          <w:sz w:val="24"/>
          <w:szCs w:val="24"/>
        </w:rPr>
      </w:pPr>
    </w:p>
    <w:p w14:paraId="55ED5B6C">
      <w:pPr>
        <w:spacing w:line="360" w:lineRule="auto"/>
        <w:rPr>
          <w:rFonts w:ascii="黑体" w:hAnsi="黑体" w:eastAsia="黑体"/>
          <w:sz w:val="24"/>
          <w:szCs w:val="24"/>
        </w:rPr>
      </w:pPr>
      <w:r>
        <w:rPr>
          <w:rFonts w:hint="eastAsia" w:ascii="黑体" w:hAnsi="黑体" w:eastAsia="黑体"/>
          <w:sz w:val="24"/>
          <w:szCs w:val="24"/>
        </w:rPr>
        <w:t>三、人员管理</w:t>
      </w:r>
    </w:p>
    <w:p w14:paraId="6E837E03">
      <w:pPr>
        <w:pStyle w:val="28"/>
        <w:numPr>
          <w:ilvl w:val="0"/>
          <w:numId w:val="11"/>
        </w:numPr>
        <w:spacing w:line="360" w:lineRule="auto"/>
        <w:ind w:firstLineChars="0"/>
        <w:rPr>
          <w:rFonts w:ascii="仿宋" w:hAnsi="仿宋" w:eastAsia="仿宋"/>
          <w:sz w:val="24"/>
          <w:szCs w:val="24"/>
        </w:rPr>
      </w:pPr>
      <w:r>
        <w:rPr>
          <w:rFonts w:hint="eastAsia" w:ascii="仿宋" w:hAnsi="仿宋" w:eastAsia="仿宋"/>
          <w:sz w:val="24"/>
          <w:szCs w:val="24"/>
        </w:rPr>
        <w:t>乙方指派的驾驶人员应当身体健康,并具有合格的驾驶资质,符合甲方的用人需求。</w:t>
      </w:r>
    </w:p>
    <w:p w14:paraId="14A8DF5B">
      <w:pPr>
        <w:pStyle w:val="28"/>
        <w:numPr>
          <w:ilvl w:val="0"/>
          <w:numId w:val="11"/>
        </w:numPr>
        <w:spacing w:line="360" w:lineRule="auto"/>
        <w:ind w:firstLineChars="0"/>
        <w:rPr>
          <w:rFonts w:ascii="仿宋" w:hAnsi="仿宋" w:eastAsia="仿宋"/>
          <w:sz w:val="24"/>
          <w:szCs w:val="24"/>
        </w:rPr>
      </w:pPr>
      <w:r>
        <w:rPr>
          <w:rFonts w:hint="eastAsia" w:ascii="仿宋" w:hAnsi="仿宋" w:eastAsia="仿宋"/>
          <w:sz w:val="24"/>
          <w:szCs w:val="24"/>
        </w:rPr>
        <w:t>乙方指派的驾驶人员必须遵守甲方的有关规章制度。</w:t>
      </w:r>
    </w:p>
    <w:p w14:paraId="21A2632A">
      <w:pPr>
        <w:pStyle w:val="28"/>
        <w:numPr>
          <w:ilvl w:val="0"/>
          <w:numId w:val="11"/>
        </w:numPr>
        <w:spacing w:line="360" w:lineRule="auto"/>
        <w:ind w:firstLineChars="0"/>
        <w:rPr>
          <w:rFonts w:ascii="仿宋" w:hAnsi="仿宋" w:eastAsia="仿宋"/>
          <w:sz w:val="24"/>
          <w:szCs w:val="24"/>
        </w:rPr>
      </w:pPr>
      <w:r>
        <w:rPr>
          <w:rFonts w:hint="eastAsia" w:ascii="仿宋" w:hAnsi="仿宋" w:eastAsia="仿宋"/>
          <w:sz w:val="24"/>
          <w:szCs w:val="24"/>
        </w:rPr>
        <w:t>乙方指派的驾驶人员在提供驾驶服务时应勤勉尽责,接受甲方业务检查、指导和督促。</w:t>
      </w:r>
    </w:p>
    <w:p w14:paraId="0A58DB3D">
      <w:pPr>
        <w:pStyle w:val="28"/>
        <w:spacing w:line="360" w:lineRule="auto"/>
        <w:ind w:left="420" w:firstLine="0" w:firstLineChars="0"/>
        <w:rPr>
          <w:rFonts w:ascii="仿宋" w:hAnsi="仿宋" w:eastAsia="仿宋"/>
          <w:sz w:val="24"/>
          <w:szCs w:val="24"/>
        </w:rPr>
      </w:pPr>
      <w:r>
        <w:rPr>
          <w:rFonts w:hint="eastAsia" w:ascii="仿宋" w:hAnsi="仿宋" w:eastAsia="仿宋"/>
          <w:sz w:val="24"/>
          <w:szCs w:val="24"/>
        </w:rPr>
        <w:t>如乙方驾驶人员违反甲方规定或不服从甲方指挥、管理的,甲方有权向乙方书面提出退回或要求乙方调换驾驶人员,并向乙方提出对甲方退回驾驶人员的处理意见。</w:t>
      </w:r>
    </w:p>
    <w:p w14:paraId="38F8AC93">
      <w:pPr>
        <w:pStyle w:val="28"/>
        <w:numPr>
          <w:ilvl w:val="0"/>
          <w:numId w:val="11"/>
        </w:numPr>
        <w:spacing w:line="360" w:lineRule="auto"/>
        <w:ind w:firstLineChars="0"/>
        <w:rPr>
          <w:rFonts w:ascii="仿宋" w:hAnsi="仿宋" w:eastAsia="仿宋"/>
          <w:sz w:val="24"/>
          <w:szCs w:val="24"/>
        </w:rPr>
      </w:pPr>
      <w:r>
        <w:rPr>
          <w:rFonts w:hint="eastAsia" w:ascii="仿宋" w:hAnsi="仿宋" w:eastAsia="仿宋"/>
          <w:sz w:val="24"/>
          <w:szCs w:val="24"/>
          <w:lang w:eastAsia="zh-CN"/>
        </w:rPr>
        <w:t>合同期内，甲方可以要求乙方</w:t>
      </w:r>
      <w:r>
        <w:rPr>
          <w:rFonts w:hint="eastAsia" w:ascii="仿宋" w:hAnsi="仿宋" w:eastAsia="仿宋"/>
          <w:sz w:val="24"/>
          <w:szCs w:val="24"/>
        </w:rPr>
        <w:t>(具体</w:t>
      </w:r>
      <w:r>
        <w:rPr>
          <w:rFonts w:hint="eastAsia" w:ascii="仿宋" w:hAnsi="仿宋" w:eastAsia="仿宋"/>
          <w:sz w:val="24"/>
          <w:szCs w:val="24"/>
          <w:lang w:eastAsia="zh-CN"/>
        </w:rPr>
        <w:t>时间</w:t>
      </w:r>
      <w:r>
        <w:rPr>
          <w:rFonts w:hint="eastAsia" w:ascii="仿宋" w:hAnsi="仿宋" w:eastAsia="仿宋"/>
          <w:sz w:val="24"/>
          <w:szCs w:val="24"/>
        </w:rPr>
        <w:t>由甲方确定后</w:t>
      </w:r>
      <w:r>
        <w:rPr>
          <w:rFonts w:ascii="仿宋" w:hAnsi="仿宋" w:eastAsia="仿宋"/>
          <w:sz w:val="24"/>
          <w:szCs w:val="24"/>
        </w:rPr>
        <w:t>提前</w:t>
      </w:r>
      <w:r>
        <w:rPr>
          <w:rFonts w:hint="eastAsia" w:ascii="仿宋" w:hAnsi="仿宋" w:eastAsia="仿宋"/>
          <w:sz w:val="24"/>
          <w:szCs w:val="24"/>
        </w:rPr>
        <w:t>一个月</w:t>
      </w:r>
      <w:r>
        <w:rPr>
          <w:rFonts w:ascii="仿宋" w:hAnsi="仿宋" w:eastAsia="仿宋"/>
          <w:sz w:val="24"/>
          <w:szCs w:val="24"/>
        </w:rPr>
        <w:t>告知乙方)</w:t>
      </w:r>
      <w:r>
        <w:rPr>
          <w:rFonts w:hint="eastAsia" w:ascii="仿宋" w:hAnsi="仿宋" w:eastAsia="仿宋"/>
          <w:sz w:val="24"/>
          <w:szCs w:val="24"/>
        </w:rPr>
        <w:t>更换指派至甲方的驾驶人员</w:t>
      </w:r>
      <w:r>
        <w:rPr>
          <w:rFonts w:hint="eastAsia" w:ascii="仿宋" w:hAnsi="仿宋" w:eastAsia="仿宋"/>
          <w:sz w:val="24"/>
          <w:szCs w:val="24"/>
          <w:lang w:eastAsia="zh-CN"/>
        </w:rPr>
        <w:t>。</w:t>
      </w:r>
    </w:p>
    <w:p w14:paraId="65CB3210">
      <w:pPr>
        <w:pStyle w:val="28"/>
        <w:numPr>
          <w:ilvl w:val="0"/>
          <w:numId w:val="11"/>
        </w:numPr>
        <w:spacing w:line="360" w:lineRule="auto"/>
        <w:ind w:firstLineChars="0"/>
        <w:rPr>
          <w:rFonts w:ascii="仿宋" w:hAnsi="仿宋" w:eastAsia="仿宋"/>
          <w:sz w:val="24"/>
          <w:szCs w:val="24"/>
        </w:rPr>
      </w:pPr>
      <w:r>
        <w:rPr>
          <w:rFonts w:hint="eastAsia" w:ascii="仿宋" w:hAnsi="仿宋" w:eastAsia="仿宋"/>
          <w:sz w:val="24"/>
          <w:szCs w:val="24"/>
          <w:lang w:eastAsia="zh-CN"/>
        </w:rPr>
        <w:t>合同期内，甲方有权根据车辆处置等情况变化（如</w:t>
      </w:r>
      <w:r>
        <w:rPr>
          <w:rFonts w:hint="eastAsia" w:ascii="仿宋" w:hAnsi="仿宋" w:eastAsia="仿宋"/>
          <w:sz w:val="24"/>
          <w:szCs w:val="24"/>
        </w:rPr>
        <w:t>出售、置换、捐赠、报废报损</w:t>
      </w:r>
      <w:r>
        <w:rPr>
          <w:rFonts w:hint="eastAsia" w:ascii="仿宋" w:hAnsi="仿宋" w:eastAsia="仿宋"/>
          <w:sz w:val="24"/>
          <w:szCs w:val="24"/>
          <w:lang w:eastAsia="zh-CN"/>
        </w:rPr>
        <w:t>和拍卖），调整或终止本协议。</w:t>
      </w:r>
    </w:p>
    <w:p w14:paraId="0F76C6AE">
      <w:pPr>
        <w:spacing w:line="360" w:lineRule="auto"/>
        <w:rPr>
          <w:rFonts w:ascii="黑体" w:hAnsi="黑体" w:eastAsia="黑体"/>
          <w:sz w:val="24"/>
          <w:szCs w:val="24"/>
        </w:rPr>
      </w:pPr>
      <w:r>
        <w:rPr>
          <w:rFonts w:hint="eastAsia" w:ascii="黑体" w:hAnsi="黑体" w:eastAsia="黑体"/>
          <w:sz w:val="24"/>
          <w:szCs w:val="24"/>
        </w:rPr>
        <w:t>四、甲方的权利义务</w:t>
      </w:r>
    </w:p>
    <w:p w14:paraId="16374842">
      <w:pPr>
        <w:pStyle w:val="28"/>
        <w:numPr>
          <w:ilvl w:val="0"/>
          <w:numId w:val="12"/>
        </w:numPr>
        <w:spacing w:line="360" w:lineRule="auto"/>
        <w:ind w:firstLineChars="0"/>
        <w:rPr>
          <w:rFonts w:ascii="仿宋" w:hAnsi="仿宋" w:eastAsia="仿宋"/>
          <w:sz w:val="24"/>
          <w:szCs w:val="24"/>
        </w:rPr>
      </w:pPr>
      <w:r>
        <w:rPr>
          <w:rFonts w:hint="eastAsia" w:ascii="仿宋" w:hAnsi="仿宋" w:eastAsia="仿宋"/>
          <w:sz w:val="24"/>
          <w:szCs w:val="24"/>
        </w:rPr>
        <w:t>乙方指派的驾驶人员如因违反甲方规定或不服从甲方管理,甲方有权向乙方书面提出退回该驾驶员或要求乙方更换驾驶人员。</w:t>
      </w:r>
    </w:p>
    <w:p w14:paraId="56EA028B">
      <w:pPr>
        <w:pStyle w:val="28"/>
        <w:numPr>
          <w:ilvl w:val="0"/>
          <w:numId w:val="12"/>
        </w:numPr>
        <w:spacing w:line="360" w:lineRule="auto"/>
        <w:ind w:firstLineChars="0"/>
        <w:rPr>
          <w:rFonts w:ascii="仿宋" w:hAnsi="仿宋" w:eastAsia="仿宋"/>
          <w:sz w:val="24"/>
          <w:szCs w:val="24"/>
        </w:rPr>
      </w:pPr>
      <w:r>
        <w:rPr>
          <w:rFonts w:hint="eastAsia" w:ascii="仿宋" w:hAnsi="仿宋" w:eastAsia="仿宋"/>
          <w:sz w:val="24"/>
          <w:szCs w:val="24"/>
        </w:rPr>
        <w:t>甲方有权依据本协议及甲方各项规章制度</w:t>
      </w:r>
      <w:r>
        <w:rPr>
          <w:rFonts w:hint="eastAsia" w:ascii="仿宋" w:hAnsi="仿宋" w:eastAsia="仿宋"/>
          <w:sz w:val="24"/>
          <w:szCs w:val="24"/>
          <w:lang w:eastAsia="zh-CN"/>
        </w:rPr>
        <w:t>，</w:t>
      </w:r>
      <w:r>
        <w:rPr>
          <w:rFonts w:hint="eastAsia" w:ascii="仿宋" w:hAnsi="仿宋" w:eastAsia="仿宋"/>
          <w:sz w:val="24"/>
          <w:szCs w:val="24"/>
        </w:rPr>
        <w:t>安排和管理乙方驾驶人员的工作(包括工作时间、工作地点等)。</w:t>
      </w:r>
    </w:p>
    <w:p w14:paraId="42985D43">
      <w:pPr>
        <w:pStyle w:val="28"/>
        <w:numPr>
          <w:ilvl w:val="0"/>
          <w:numId w:val="12"/>
        </w:numPr>
        <w:spacing w:line="360" w:lineRule="auto"/>
        <w:ind w:firstLineChars="0"/>
        <w:rPr>
          <w:rFonts w:ascii="仿宋" w:hAnsi="仿宋" w:eastAsia="仿宋"/>
          <w:sz w:val="24"/>
          <w:szCs w:val="24"/>
        </w:rPr>
      </w:pPr>
      <w:r>
        <w:rPr>
          <w:rFonts w:hint="eastAsia" w:ascii="仿宋" w:hAnsi="仿宋" w:eastAsia="仿宋"/>
          <w:sz w:val="24"/>
          <w:szCs w:val="24"/>
        </w:rPr>
        <w:t>根据协议约定向乙方支付费用。</w:t>
      </w:r>
    </w:p>
    <w:p w14:paraId="2B5B29A5">
      <w:pPr>
        <w:pStyle w:val="28"/>
        <w:numPr>
          <w:ilvl w:val="0"/>
          <w:numId w:val="12"/>
        </w:numPr>
        <w:spacing w:line="360" w:lineRule="auto"/>
        <w:ind w:firstLineChars="0"/>
        <w:rPr>
          <w:rFonts w:ascii="仿宋" w:hAnsi="仿宋" w:eastAsia="仿宋"/>
          <w:sz w:val="24"/>
          <w:szCs w:val="24"/>
        </w:rPr>
      </w:pPr>
      <w:r>
        <w:rPr>
          <w:rFonts w:hint="eastAsia" w:ascii="仿宋" w:hAnsi="仿宋" w:eastAsia="仿宋"/>
          <w:sz w:val="24"/>
          <w:szCs w:val="24"/>
        </w:rPr>
        <w:t>本协议规定的其他权利义务。</w:t>
      </w:r>
    </w:p>
    <w:p w14:paraId="0D9A0EB2">
      <w:pPr>
        <w:spacing w:line="360" w:lineRule="auto"/>
        <w:rPr>
          <w:rFonts w:ascii="黑体" w:hAnsi="黑体" w:eastAsia="黑体"/>
          <w:sz w:val="24"/>
          <w:szCs w:val="24"/>
        </w:rPr>
      </w:pPr>
      <w:r>
        <w:rPr>
          <w:rFonts w:hint="eastAsia" w:ascii="黑体" w:hAnsi="黑体" w:eastAsia="黑体"/>
          <w:sz w:val="24"/>
          <w:szCs w:val="24"/>
        </w:rPr>
        <w:t>五、乙方的权利义务</w:t>
      </w:r>
    </w:p>
    <w:p w14:paraId="0940232D">
      <w:pPr>
        <w:pStyle w:val="28"/>
        <w:numPr>
          <w:ilvl w:val="0"/>
          <w:numId w:val="13"/>
        </w:numPr>
        <w:spacing w:line="360" w:lineRule="auto"/>
        <w:ind w:firstLineChars="0"/>
        <w:rPr>
          <w:rFonts w:ascii="仿宋" w:hAnsi="仿宋" w:eastAsia="仿宋"/>
          <w:sz w:val="24"/>
          <w:szCs w:val="24"/>
        </w:rPr>
      </w:pPr>
      <w:r>
        <w:rPr>
          <w:rFonts w:hint="eastAsia" w:ascii="仿宋" w:hAnsi="仿宋" w:eastAsia="仿宋"/>
          <w:sz w:val="24"/>
          <w:szCs w:val="24"/>
        </w:rPr>
        <w:t>乙方应与其指派至甲方的驾驶人员签订合法有效的劳动协议,如劳动协议性质和不可抗拒因素发生变化,应及时与甲方提出协商。</w:t>
      </w:r>
    </w:p>
    <w:p w14:paraId="6FC7D414">
      <w:pPr>
        <w:pStyle w:val="28"/>
        <w:numPr>
          <w:ilvl w:val="0"/>
          <w:numId w:val="13"/>
        </w:numPr>
        <w:spacing w:line="360" w:lineRule="auto"/>
        <w:ind w:firstLineChars="0"/>
        <w:rPr>
          <w:rFonts w:ascii="仿宋" w:hAnsi="仿宋" w:eastAsia="仿宋"/>
          <w:sz w:val="24"/>
          <w:szCs w:val="24"/>
        </w:rPr>
      </w:pPr>
      <w:r>
        <w:rPr>
          <w:rFonts w:hint="eastAsia" w:ascii="仿宋" w:hAnsi="仿宋" w:eastAsia="仿宋"/>
          <w:sz w:val="24"/>
          <w:szCs w:val="24"/>
        </w:rPr>
        <w:t>乙方指派的驾驶人员,与乙方建立合法的用工关系,其社会保险费、公积金、个人所得税等均由乙方按规定代征代缴。乙方必须每月按时足额向乙方指派至甲方的驾驶人员支付工资、缴纳社会保险费、公积金、个人所得税。</w:t>
      </w:r>
    </w:p>
    <w:p w14:paraId="1CD713C5">
      <w:pPr>
        <w:pStyle w:val="28"/>
        <w:numPr>
          <w:ilvl w:val="0"/>
          <w:numId w:val="13"/>
        </w:numPr>
        <w:spacing w:line="360" w:lineRule="auto"/>
        <w:ind w:firstLineChars="0"/>
        <w:rPr>
          <w:rFonts w:ascii="仿宋" w:hAnsi="仿宋" w:eastAsia="仿宋"/>
          <w:sz w:val="24"/>
          <w:szCs w:val="24"/>
        </w:rPr>
      </w:pPr>
      <w:r>
        <w:rPr>
          <w:rFonts w:hint="eastAsia" w:ascii="仿宋" w:hAnsi="仿宋" w:eastAsia="仿宋"/>
          <w:sz w:val="24"/>
          <w:szCs w:val="24"/>
        </w:rPr>
        <w:t>乙方指派的驾驶人员在本协议有效期间如因工伤事故,按国家有关规定办理。</w:t>
      </w:r>
    </w:p>
    <w:p w14:paraId="6E9CD1ED">
      <w:pPr>
        <w:pStyle w:val="28"/>
        <w:numPr>
          <w:ilvl w:val="0"/>
          <w:numId w:val="13"/>
        </w:numPr>
        <w:spacing w:line="360" w:lineRule="auto"/>
        <w:ind w:firstLineChars="0"/>
        <w:rPr>
          <w:rFonts w:ascii="仿宋" w:hAnsi="仿宋" w:eastAsia="仿宋"/>
          <w:sz w:val="24"/>
          <w:szCs w:val="24"/>
        </w:rPr>
      </w:pPr>
      <w:r>
        <w:rPr>
          <w:rFonts w:hint="eastAsia" w:ascii="仿宋" w:hAnsi="仿宋" w:eastAsia="仿宋"/>
          <w:sz w:val="24"/>
          <w:szCs w:val="24"/>
        </w:rPr>
        <w:t>乙方指派的驾驶人员因故意或重大过失,导致甲方遭受损失(如发生丢车、交通事故等情形),若</w:t>
      </w:r>
      <w:r>
        <w:rPr>
          <w:rFonts w:ascii="仿宋" w:hAnsi="仿宋" w:eastAsia="仿宋"/>
          <w:sz w:val="24"/>
          <w:szCs w:val="24"/>
        </w:rPr>
        <w:t>证明乙方驾驶人确</w:t>
      </w:r>
      <w:r>
        <w:rPr>
          <w:rFonts w:hint="eastAsia" w:ascii="仿宋" w:hAnsi="仿宋" w:eastAsia="仿宋"/>
          <w:sz w:val="24"/>
          <w:szCs w:val="24"/>
        </w:rPr>
        <w:t>负有</w:t>
      </w:r>
      <w:r>
        <w:rPr>
          <w:rFonts w:ascii="仿宋" w:hAnsi="仿宋" w:eastAsia="仿宋"/>
          <w:sz w:val="24"/>
          <w:szCs w:val="24"/>
        </w:rPr>
        <w:t>赔偿责任的，</w:t>
      </w:r>
      <w:r>
        <w:rPr>
          <w:rFonts w:hint="eastAsia" w:ascii="仿宋" w:hAnsi="仿宋" w:eastAsia="仿宋"/>
          <w:sz w:val="24"/>
          <w:szCs w:val="24"/>
        </w:rPr>
        <w:t>乙方有义务</w:t>
      </w:r>
      <w:r>
        <w:rPr>
          <w:rFonts w:ascii="仿宋" w:hAnsi="仿宋" w:eastAsia="仿宋"/>
          <w:sz w:val="24"/>
          <w:szCs w:val="24"/>
        </w:rPr>
        <w:t>协助</w:t>
      </w:r>
      <w:r>
        <w:rPr>
          <w:rFonts w:hint="eastAsia" w:ascii="仿宋" w:hAnsi="仿宋" w:eastAsia="仿宋"/>
          <w:sz w:val="24"/>
          <w:szCs w:val="24"/>
        </w:rPr>
        <w:t>甲方进行</w:t>
      </w:r>
      <w:r>
        <w:rPr>
          <w:rFonts w:ascii="仿宋" w:hAnsi="仿宋" w:eastAsia="仿宋"/>
          <w:sz w:val="24"/>
          <w:szCs w:val="24"/>
        </w:rPr>
        <w:t>追偿</w:t>
      </w:r>
      <w:r>
        <w:rPr>
          <w:rFonts w:hint="eastAsia" w:ascii="仿宋" w:hAnsi="仿宋" w:eastAsia="仿宋"/>
          <w:sz w:val="24"/>
          <w:szCs w:val="24"/>
        </w:rPr>
        <w:t>，如</w:t>
      </w:r>
      <w:r>
        <w:rPr>
          <w:rFonts w:ascii="仿宋" w:hAnsi="仿宋" w:eastAsia="仿宋"/>
          <w:sz w:val="24"/>
          <w:szCs w:val="24"/>
        </w:rPr>
        <w:t>无法</w:t>
      </w:r>
      <w:r>
        <w:rPr>
          <w:rFonts w:hint="eastAsia" w:ascii="仿宋" w:hAnsi="仿宋" w:eastAsia="仿宋"/>
          <w:sz w:val="24"/>
          <w:szCs w:val="24"/>
        </w:rPr>
        <w:t>清偿</w:t>
      </w:r>
      <w:r>
        <w:rPr>
          <w:rFonts w:ascii="仿宋" w:hAnsi="仿宋" w:eastAsia="仿宋"/>
          <w:sz w:val="24"/>
          <w:szCs w:val="24"/>
        </w:rPr>
        <w:t>的，乙方</w:t>
      </w:r>
      <w:r>
        <w:rPr>
          <w:rFonts w:hint="eastAsia" w:ascii="仿宋" w:hAnsi="仿宋" w:eastAsia="仿宋"/>
          <w:sz w:val="24"/>
          <w:szCs w:val="24"/>
        </w:rPr>
        <w:t>向甲方承担赔偿责任。</w:t>
      </w:r>
    </w:p>
    <w:p w14:paraId="5F6AC9A6">
      <w:pPr>
        <w:pStyle w:val="28"/>
        <w:numPr>
          <w:ilvl w:val="0"/>
          <w:numId w:val="13"/>
        </w:numPr>
        <w:spacing w:line="360" w:lineRule="auto"/>
        <w:ind w:firstLineChars="0"/>
        <w:rPr>
          <w:rFonts w:ascii="仿宋" w:hAnsi="仿宋" w:eastAsia="仿宋"/>
          <w:sz w:val="24"/>
          <w:szCs w:val="24"/>
        </w:rPr>
      </w:pPr>
      <w:r>
        <w:rPr>
          <w:rFonts w:hint="eastAsia" w:ascii="仿宋" w:hAnsi="仿宋" w:eastAsia="仿宋"/>
          <w:sz w:val="24"/>
          <w:szCs w:val="24"/>
        </w:rPr>
        <w:t>在本协议期间,若驾驶员因休假等原因不能出勤的,乙方需提前告知甲方并及时调派其他驾驶员补位,以保证甲方工作正常进行。</w:t>
      </w:r>
    </w:p>
    <w:p w14:paraId="56C52F17">
      <w:pPr>
        <w:pStyle w:val="28"/>
        <w:spacing w:line="360" w:lineRule="auto"/>
        <w:ind w:left="360" w:hanging="360" w:hangingChars="150"/>
        <w:rPr>
          <w:rFonts w:ascii="仿宋" w:hAnsi="仿宋" w:eastAsia="仿宋"/>
          <w:strike/>
          <w:color w:val="FF0000"/>
          <w:sz w:val="24"/>
          <w:szCs w:val="24"/>
        </w:rPr>
      </w:pPr>
      <w:r>
        <w:rPr>
          <w:rFonts w:ascii="仿宋" w:hAnsi="仿宋" w:eastAsia="仿宋"/>
          <w:sz w:val="24"/>
          <w:szCs w:val="24"/>
        </w:rPr>
        <w:t xml:space="preserve">6. </w:t>
      </w:r>
      <w:r>
        <w:rPr>
          <w:rFonts w:hint="eastAsia" w:ascii="仿宋" w:hAnsi="仿宋" w:eastAsia="仿宋"/>
          <w:sz w:val="24"/>
          <w:szCs w:val="24"/>
        </w:rPr>
        <w:t>乙方指派的驾驶员对工作过程中获悉的甲方的商业秘密负有保密义务,如该驾驶人员违反保密义务对甲方造成损失的, 驾驶人负有赔偿责任，乙方有</w:t>
      </w:r>
      <w:r>
        <w:rPr>
          <w:rFonts w:ascii="仿宋" w:hAnsi="仿宋" w:eastAsia="仿宋"/>
          <w:sz w:val="24"/>
          <w:szCs w:val="24"/>
        </w:rPr>
        <w:t>义务协助</w:t>
      </w:r>
      <w:r>
        <w:rPr>
          <w:rFonts w:hint="eastAsia" w:ascii="仿宋" w:hAnsi="仿宋" w:eastAsia="仿宋"/>
          <w:sz w:val="24"/>
          <w:szCs w:val="24"/>
        </w:rPr>
        <w:t>甲方</w:t>
      </w:r>
      <w:r>
        <w:rPr>
          <w:rFonts w:ascii="仿宋" w:hAnsi="仿宋" w:eastAsia="仿宋"/>
          <w:sz w:val="24"/>
          <w:szCs w:val="24"/>
        </w:rPr>
        <w:t>进行追偿</w:t>
      </w:r>
      <w:r>
        <w:rPr>
          <w:rFonts w:hint="eastAsia" w:ascii="仿宋" w:hAnsi="仿宋" w:eastAsia="仿宋"/>
          <w:sz w:val="24"/>
          <w:szCs w:val="24"/>
        </w:rPr>
        <w:t>。</w:t>
      </w:r>
    </w:p>
    <w:p w14:paraId="2E3A6E7B">
      <w:pPr>
        <w:pStyle w:val="28"/>
        <w:spacing w:line="360" w:lineRule="auto"/>
        <w:ind w:firstLine="0" w:firstLineChars="0"/>
        <w:rPr>
          <w:rFonts w:ascii="仿宋" w:hAnsi="仿宋" w:eastAsia="仿宋"/>
          <w:sz w:val="24"/>
          <w:szCs w:val="24"/>
        </w:rPr>
      </w:pPr>
      <w:r>
        <w:rPr>
          <w:rFonts w:hint="eastAsia" w:ascii="仿宋" w:hAnsi="仿宋" w:eastAsia="仿宋"/>
          <w:sz w:val="24"/>
          <w:szCs w:val="24"/>
        </w:rPr>
        <w:t>7. 本协议规定的其他权利义务。</w:t>
      </w:r>
    </w:p>
    <w:p w14:paraId="041F05C6">
      <w:pPr>
        <w:spacing w:line="360" w:lineRule="auto"/>
        <w:rPr>
          <w:rFonts w:ascii="黑体" w:hAnsi="黑体" w:eastAsia="黑体"/>
          <w:sz w:val="24"/>
          <w:szCs w:val="24"/>
        </w:rPr>
      </w:pPr>
      <w:r>
        <w:rPr>
          <w:rFonts w:hint="eastAsia" w:ascii="黑体" w:hAnsi="黑体" w:eastAsia="黑体"/>
          <w:sz w:val="24"/>
          <w:szCs w:val="24"/>
        </w:rPr>
        <w:t>六、费用及支付</w:t>
      </w:r>
    </w:p>
    <w:p w14:paraId="1E4A3094">
      <w:pPr>
        <w:pStyle w:val="28"/>
        <w:numPr>
          <w:ilvl w:val="0"/>
          <w:numId w:val="14"/>
        </w:numPr>
        <w:spacing w:line="360" w:lineRule="auto"/>
        <w:ind w:firstLineChars="0"/>
        <w:rPr>
          <w:rFonts w:ascii="仿宋" w:hAnsi="仿宋" w:eastAsia="仿宋"/>
          <w:sz w:val="24"/>
          <w:szCs w:val="24"/>
        </w:rPr>
      </w:pPr>
      <w:r>
        <w:rPr>
          <w:rFonts w:hint="eastAsia" w:ascii="仿宋" w:hAnsi="仿宋" w:eastAsia="仿宋"/>
          <w:sz w:val="24"/>
          <w:szCs w:val="24"/>
        </w:rPr>
        <w:t>甲方支付给乙方的服务费用为</w:t>
      </w:r>
      <w:r>
        <w:rPr>
          <w:rFonts w:hint="eastAsia" w:ascii="仿宋" w:hAnsi="仿宋" w:eastAsia="仿宋"/>
          <w:sz w:val="24"/>
          <w:szCs w:val="24"/>
          <w:lang w:val="en-US" w:eastAsia="zh-CN"/>
        </w:rPr>
        <w:t xml:space="preserve">         </w:t>
      </w:r>
      <w:r>
        <w:rPr>
          <w:rFonts w:hint="eastAsia" w:ascii="仿宋" w:hAnsi="仿宋" w:eastAsia="仿宋"/>
          <w:sz w:val="24"/>
          <w:szCs w:val="24"/>
        </w:rPr>
        <w:t>元/人/月。</w:t>
      </w:r>
      <w:r>
        <w:rPr>
          <w:rFonts w:ascii="仿宋" w:hAnsi="仿宋" w:eastAsia="仿宋"/>
          <w:sz w:val="24"/>
          <w:szCs w:val="24"/>
        </w:rPr>
        <w:t>如遇</w:t>
      </w:r>
      <w:r>
        <w:rPr>
          <w:rFonts w:hint="eastAsia" w:ascii="仿宋" w:hAnsi="仿宋" w:eastAsia="仿宋"/>
          <w:sz w:val="24"/>
          <w:szCs w:val="24"/>
        </w:rPr>
        <w:t>上海市社保基数、公积金</w:t>
      </w:r>
      <w:r>
        <w:rPr>
          <w:rFonts w:ascii="仿宋" w:hAnsi="仿宋" w:eastAsia="仿宋"/>
          <w:sz w:val="24"/>
          <w:szCs w:val="24"/>
        </w:rPr>
        <w:t>基数</w:t>
      </w:r>
      <w:r>
        <w:rPr>
          <w:rFonts w:hint="eastAsia" w:ascii="仿宋" w:hAnsi="仿宋" w:eastAsia="仿宋"/>
          <w:sz w:val="24"/>
          <w:szCs w:val="24"/>
        </w:rPr>
        <w:t>及税率</w:t>
      </w:r>
      <w:r>
        <w:rPr>
          <w:rFonts w:ascii="仿宋" w:hAnsi="仿宋" w:eastAsia="仿宋"/>
          <w:sz w:val="24"/>
          <w:szCs w:val="24"/>
        </w:rPr>
        <w:t>调整，双方</w:t>
      </w:r>
      <w:r>
        <w:rPr>
          <w:rFonts w:hint="eastAsia" w:ascii="仿宋" w:hAnsi="仿宋" w:eastAsia="仿宋"/>
          <w:sz w:val="24"/>
          <w:szCs w:val="24"/>
        </w:rPr>
        <w:t>另行</w:t>
      </w:r>
      <w:r>
        <w:rPr>
          <w:rFonts w:ascii="仿宋" w:hAnsi="仿宋" w:eastAsia="仿宋"/>
          <w:sz w:val="24"/>
          <w:szCs w:val="24"/>
        </w:rPr>
        <w:t>签署补充协议</w:t>
      </w:r>
      <w:r>
        <w:rPr>
          <w:rFonts w:hint="eastAsia" w:ascii="仿宋" w:hAnsi="仿宋" w:eastAsia="仿宋"/>
          <w:sz w:val="24"/>
          <w:szCs w:val="24"/>
        </w:rPr>
        <w:t>，</w:t>
      </w:r>
      <w:r>
        <w:rPr>
          <w:rFonts w:ascii="仿宋" w:hAnsi="仿宋" w:eastAsia="仿宋"/>
          <w:sz w:val="24"/>
          <w:szCs w:val="24"/>
        </w:rPr>
        <w:t>明确双方权利义务。</w:t>
      </w:r>
    </w:p>
    <w:p w14:paraId="718F1C32">
      <w:pPr>
        <w:pStyle w:val="28"/>
        <w:numPr>
          <w:ilvl w:val="0"/>
          <w:numId w:val="14"/>
        </w:numPr>
        <w:spacing w:line="360" w:lineRule="auto"/>
        <w:ind w:firstLineChars="0"/>
        <w:rPr>
          <w:rFonts w:ascii="仿宋" w:hAnsi="仿宋" w:eastAsia="仿宋"/>
          <w:sz w:val="24"/>
          <w:szCs w:val="24"/>
        </w:rPr>
      </w:pPr>
      <w:r>
        <w:rPr>
          <w:rFonts w:hint="eastAsia" w:ascii="仿宋" w:hAnsi="仿宋" w:eastAsia="仿宋"/>
          <w:sz w:val="24"/>
          <w:szCs w:val="24"/>
        </w:rPr>
        <w:t>具体支付方式:乙方应于每月向甲方出具上海市统一商业发票。甲方在收到发票后向乙方支付上个月的服务费。</w:t>
      </w:r>
    </w:p>
    <w:p w14:paraId="6037D33F">
      <w:pPr>
        <w:pStyle w:val="28"/>
        <w:numPr>
          <w:ilvl w:val="0"/>
          <w:numId w:val="14"/>
        </w:numPr>
        <w:spacing w:line="360" w:lineRule="auto"/>
        <w:ind w:firstLineChars="0"/>
        <w:rPr>
          <w:rFonts w:ascii="仿宋" w:hAnsi="仿宋" w:eastAsia="仿宋"/>
          <w:sz w:val="24"/>
          <w:szCs w:val="24"/>
        </w:rPr>
      </w:pPr>
      <w:r>
        <w:rPr>
          <w:rFonts w:hint="eastAsia" w:ascii="仿宋" w:hAnsi="仿宋" w:eastAsia="仿宋"/>
          <w:sz w:val="24"/>
          <w:szCs w:val="24"/>
        </w:rPr>
        <w:t>其他费用:若发生下列费用,由甲方向乙方另外支付。</w:t>
      </w:r>
    </w:p>
    <w:p w14:paraId="7D48F3D8">
      <w:pPr>
        <w:pStyle w:val="28"/>
        <w:numPr>
          <w:ilvl w:val="0"/>
          <w:numId w:val="15"/>
        </w:numPr>
        <w:spacing w:line="360" w:lineRule="auto"/>
        <w:ind w:firstLineChars="0"/>
        <w:rPr>
          <w:rFonts w:ascii="仿宋" w:hAnsi="仿宋" w:eastAsia="仿宋"/>
          <w:sz w:val="24"/>
          <w:szCs w:val="24"/>
          <w:highlight w:val="none"/>
        </w:rPr>
      </w:pPr>
      <w:r>
        <w:rPr>
          <w:rFonts w:hint="eastAsia" w:ascii="仿宋" w:hAnsi="仿宋" w:eastAsia="仿宋"/>
          <w:sz w:val="24"/>
          <w:szCs w:val="24"/>
        </w:rPr>
        <w:t>如因甲方需要,甲方安排乙方指派的驾驶人员在甲方工作日之外超时</w:t>
      </w:r>
      <w:r>
        <w:rPr>
          <w:rFonts w:ascii="仿宋" w:hAnsi="仿宋" w:eastAsia="仿宋"/>
          <w:sz w:val="24"/>
          <w:szCs w:val="24"/>
        </w:rPr>
        <w:t>服务</w:t>
      </w:r>
      <w:r>
        <w:rPr>
          <w:rFonts w:hint="eastAsia" w:ascii="仿宋" w:hAnsi="仿宋" w:eastAsia="仿宋"/>
          <w:sz w:val="24"/>
          <w:szCs w:val="24"/>
        </w:rPr>
        <w:t>的,</w:t>
      </w:r>
      <w:r>
        <w:rPr>
          <w:rFonts w:hint="eastAsia" w:ascii="仿宋" w:hAnsi="仿宋" w:eastAsia="仿宋"/>
          <w:sz w:val="24"/>
          <w:szCs w:val="24"/>
          <w:highlight w:val="none"/>
        </w:rPr>
        <w:t>由甲方根据国家有关规定</w:t>
      </w:r>
      <w:r>
        <w:rPr>
          <w:rFonts w:hint="eastAsia" w:ascii="仿宋" w:hAnsi="仿宋" w:eastAsia="仿宋"/>
          <w:sz w:val="24"/>
          <w:szCs w:val="24"/>
          <w:highlight w:val="none"/>
          <w:lang w:eastAsia="zh-CN"/>
        </w:rPr>
        <w:t>和甲方规章制度</w:t>
      </w:r>
      <w:r>
        <w:rPr>
          <w:rFonts w:hint="eastAsia" w:ascii="仿宋" w:hAnsi="仿宋" w:eastAsia="仿宋"/>
          <w:sz w:val="24"/>
          <w:szCs w:val="24"/>
          <w:highlight w:val="none"/>
        </w:rPr>
        <w:t>向乙方支付超时服务费。</w:t>
      </w:r>
    </w:p>
    <w:p w14:paraId="5C7B03A4">
      <w:pPr>
        <w:pStyle w:val="28"/>
        <w:numPr>
          <w:ilvl w:val="0"/>
          <w:numId w:val="15"/>
        </w:numPr>
        <w:spacing w:line="360" w:lineRule="auto"/>
        <w:ind w:firstLineChars="0"/>
        <w:rPr>
          <w:rFonts w:ascii="仿宋" w:hAnsi="仿宋" w:eastAsia="仿宋"/>
          <w:sz w:val="24"/>
          <w:szCs w:val="24"/>
          <w:highlight w:val="none"/>
        </w:rPr>
      </w:pPr>
      <w:r>
        <w:rPr>
          <w:rFonts w:hint="eastAsia" w:ascii="仿宋" w:hAnsi="仿宋" w:eastAsia="仿宋"/>
          <w:sz w:val="24"/>
          <w:szCs w:val="24"/>
          <w:highlight w:val="none"/>
        </w:rPr>
        <w:t>甲方</w:t>
      </w:r>
      <w:r>
        <w:rPr>
          <w:rFonts w:hint="eastAsia" w:ascii="仿宋" w:hAnsi="仿宋" w:eastAsia="仿宋"/>
          <w:sz w:val="24"/>
          <w:szCs w:val="24"/>
          <w:highlight w:val="none"/>
          <w:lang w:eastAsia="zh-CN"/>
        </w:rPr>
        <w:t>视情况通知</w:t>
      </w:r>
      <w:r>
        <w:rPr>
          <w:rFonts w:hint="eastAsia" w:ascii="仿宋" w:hAnsi="仿宋" w:eastAsia="仿宋"/>
          <w:sz w:val="24"/>
          <w:szCs w:val="24"/>
          <w:highlight w:val="none"/>
        </w:rPr>
        <w:t>乙方</w:t>
      </w:r>
      <w:r>
        <w:rPr>
          <w:rFonts w:hint="eastAsia" w:ascii="仿宋" w:hAnsi="仿宋" w:eastAsia="仿宋"/>
          <w:sz w:val="24"/>
          <w:szCs w:val="24"/>
          <w:highlight w:val="none"/>
          <w:lang w:eastAsia="zh-CN"/>
        </w:rPr>
        <w:t>对</w:t>
      </w:r>
      <w:r>
        <w:rPr>
          <w:rFonts w:hint="eastAsia" w:ascii="仿宋" w:hAnsi="仿宋" w:eastAsia="仿宋"/>
          <w:sz w:val="24"/>
          <w:szCs w:val="24"/>
          <w:highlight w:val="none"/>
        </w:rPr>
        <w:t>指派的驾驶员的工作情况进行考核,</w:t>
      </w:r>
      <w:r>
        <w:rPr>
          <w:rFonts w:hint="eastAsia" w:ascii="仿宋" w:hAnsi="仿宋" w:eastAsia="仿宋"/>
          <w:sz w:val="24"/>
          <w:szCs w:val="24"/>
          <w:highlight w:val="none"/>
          <w:lang w:eastAsia="zh-CN"/>
        </w:rPr>
        <w:t>甲方可对</w:t>
      </w:r>
      <w:r>
        <w:rPr>
          <w:rFonts w:hint="eastAsia" w:ascii="仿宋" w:hAnsi="仿宋" w:eastAsia="仿宋"/>
          <w:sz w:val="24"/>
          <w:szCs w:val="24"/>
          <w:highlight w:val="none"/>
        </w:rPr>
        <w:t>考核合格的人员发放奖励</w:t>
      </w:r>
      <w:r>
        <w:rPr>
          <w:rFonts w:hint="eastAsia" w:ascii="仿宋" w:hAnsi="仿宋" w:eastAsia="仿宋"/>
          <w:sz w:val="24"/>
          <w:szCs w:val="24"/>
          <w:highlight w:val="none"/>
          <w:lang w:eastAsia="zh-CN"/>
        </w:rPr>
        <w:t>，奖励金额不包含在支付给乙方的服务费中。</w:t>
      </w:r>
    </w:p>
    <w:p w14:paraId="56970BE1">
      <w:pPr>
        <w:pStyle w:val="28"/>
        <w:numPr>
          <w:ilvl w:val="0"/>
          <w:numId w:val="15"/>
        </w:numPr>
        <w:spacing w:line="360" w:lineRule="auto"/>
        <w:ind w:firstLineChars="0"/>
        <w:rPr>
          <w:rFonts w:ascii="仿宋" w:hAnsi="仿宋" w:eastAsia="仿宋"/>
          <w:sz w:val="24"/>
          <w:szCs w:val="24"/>
        </w:rPr>
      </w:pPr>
      <w:r>
        <w:rPr>
          <w:rFonts w:hint="eastAsia" w:ascii="仿宋" w:hAnsi="仿宋" w:eastAsia="仿宋"/>
          <w:sz w:val="24"/>
          <w:szCs w:val="24"/>
        </w:rPr>
        <w:t>甲方根据国家带薪年休假规定,对乙方指派的驾驶员安排年休假。</w:t>
      </w:r>
    </w:p>
    <w:p w14:paraId="6689FF19">
      <w:pPr>
        <w:spacing w:line="360" w:lineRule="auto"/>
        <w:rPr>
          <w:rFonts w:ascii="黑体" w:hAnsi="黑体" w:eastAsia="黑体"/>
          <w:sz w:val="24"/>
          <w:szCs w:val="24"/>
        </w:rPr>
      </w:pPr>
      <w:r>
        <w:rPr>
          <w:rFonts w:hint="eastAsia" w:ascii="黑体" w:hAnsi="黑体" w:eastAsia="黑体"/>
          <w:sz w:val="24"/>
          <w:szCs w:val="24"/>
        </w:rPr>
        <w:t>七、争议处理</w:t>
      </w:r>
    </w:p>
    <w:p w14:paraId="1BA5432F">
      <w:pPr>
        <w:spacing w:line="360" w:lineRule="auto"/>
        <w:rPr>
          <w:rFonts w:ascii="仿宋" w:hAnsi="仿宋" w:eastAsia="仿宋"/>
          <w:sz w:val="24"/>
          <w:szCs w:val="24"/>
        </w:rPr>
      </w:pPr>
      <w:r>
        <w:rPr>
          <w:rFonts w:hint="eastAsia" w:ascii="仿宋" w:hAnsi="仿宋" w:eastAsia="仿宋"/>
          <w:sz w:val="24"/>
          <w:szCs w:val="24"/>
        </w:rPr>
        <w:t>1.因履行本协议及与本协议有关的任何争议,双方应协商解决,协商不成,任何一方可向原告所在地有管辖权</w:t>
      </w:r>
      <w:r>
        <w:rPr>
          <w:rFonts w:ascii="仿宋" w:hAnsi="仿宋" w:eastAsia="仿宋"/>
          <w:sz w:val="24"/>
          <w:szCs w:val="24"/>
        </w:rPr>
        <w:t>的</w:t>
      </w:r>
      <w:r>
        <w:rPr>
          <w:rFonts w:hint="eastAsia" w:ascii="仿宋" w:hAnsi="仿宋" w:eastAsia="仿宋"/>
          <w:sz w:val="24"/>
          <w:szCs w:val="24"/>
        </w:rPr>
        <w:t>人民法院起诉。</w:t>
      </w:r>
    </w:p>
    <w:p w14:paraId="55EFC3B3">
      <w:pPr>
        <w:spacing w:line="360" w:lineRule="auto"/>
        <w:rPr>
          <w:rFonts w:ascii="仿宋" w:hAnsi="仿宋" w:eastAsia="仿宋"/>
          <w:sz w:val="24"/>
          <w:szCs w:val="24"/>
        </w:rPr>
      </w:pPr>
      <w:r>
        <w:rPr>
          <w:rFonts w:hint="eastAsia" w:ascii="仿宋" w:hAnsi="仿宋" w:eastAsia="仿宋"/>
          <w:sz w:val="24"/>
          <w:szCs w:val="24"/>
        </w:rPr>
        <w:t>2</w:t>
      </w:r>
      <w:r>
        <w:rPr>
          <w:rFonts w:ascii="仿宋" w:hAnsi="仿宋" w:eastAsia="仿宋"/>
          <w:sz w:val="24"/>
          <w:szCs w:val="24"/>
        </w:rPr>
        <w:t>.</w:t>
      </w:r>
      <w:r>
        <w:rPr>
          <w:rFonts w:hint="eastAsia" w:ascii="仿宋" w:hAnsi="仿宋" w:eastAsia="仿宋"/>
          <w:sz w:val="24"/>
          <w:szCs w:val="24"/>
        </w:rPr>
        <w:t>若协议方违反合同约定义务,另一方有权解除合同,违约方还应当支付守约方两个月的服务费用作为违约金。</w:t>
      </w:r>
    </w:p>
    <w:p w14:paraId="6ADD7669">
      <w:pPr>
        <w:spacing w:line="360" w:lineRule="auto"/>
        <w:rPr>
          <w:rFonts w:ascii="黑体" w:hAnsi="黑体" w:eastAsia="黑体"/>
          <w:sz w:val="24"/>
          <w:szCs w:val="24"/>
        </w:rPr>
      </w:pPr>
      <w:r>
        <w:rPr>
          <w:rFonts w:hint="eastAsia" w:ascii="黑体" w:hAnsi="黑体" w:eastAsia="黑体"/>
          <w:sz w:val="24"/>
          <w:szCs w:val="24"/>
        </w:rPr>
        <w:t>八、附则</w:t>
      </w:r>
    </w:p>
    <w:p w14:paraId="60FCD548">
      <w:pPr>
        <w:pStyle w:val="28"/>
        <w:numPr>
          <w:ilvl w:val="0"/>
          <w:numId w:val="16"/>
        </w:numPr>
        <w:spacing w:line="360" w:lineRule="auto"/>
        <w:ind w:firstLineChars="0"/>
        <w:rPr>
          <w:rFonts w:ascii="仿宋" w:hAnsi="仿宋" w:eastAsia="仿宋"/>
          <w:sz w:val="24"/>
          <w:szCs w:val="24"/>
        </w:rPr>
      </w:pPr>
      <w:r>
        <w:rPr>
          <w:rFonts w:hint="eastAsia" w:ascii="仿宋" w:hAnsi="仿宋" w:eastAsia="仿宋"/>
          <w:sz w:val="24"/>
          <w:szCs w:val="24"/>
          <w:highlight w:val="none"/>
          <w:lang w:eastAsia="zh-CN"/>
        </w:rPr>
        <w:t>服务期限自</w:t>
      </w:r>
      <w:r>
        <w:rPr>
          <w:rFonts w:hint="eastAsia" w:ascii="仿宋" w:hAnsi="仿宋" w:eastAsia="仿宋"/>
          <w:sz w:val="24"/>
          <w:szCs w:val="24"/>
          <w:highlight w:val="none"/>
        </w:rPr>
        <w:t>202</w:t>
      </w:r>
      <w:r>
        <w:rPr>
          <w:rFonts w:hint="eastAsia" w:ascii="仿宋" w:hAnsi="仿宋" w:eastAsia="仿宋"/>
          <w:sz w:val="24"/>
          <w:szCs w:val="24"/>
          <w:highlight w:val="none"/>
          <w:lang w:val="en-US" w:eastAsia="zh-CN"/>
        </w:rPr>
        <w:t>6</w:t>
      </w:r>
      <w:r>
        <w:rPr>
          <w:rFonts w:hint="eastAsia" w:ascii="仿宋" w:hAnsi="仿宋" w:eastAsia="仿宋"/>
          <w:sz w:val="24"/>
          <w:szCs w:val="24"/>
          <w:highlight w:val="none"/>
        </w:rPr>
        <w:t>年11月1日</w:t>
      </w:r>
      <w:r>
        <w:rPr>
          <w:rFonts w:hint="eastAsia" w:ascii="仿宋" w:hAnsi="仿宋" w:eastAsia="仿宋"/>
          <w:sz w:val="24"/>
          <w:szCs w:val="24"/>
          <w:highlight w:val="none"/>
          <w:lang w:eastAsia="zh-CN"/>
        </w:rPr>
        <w:t>起</w:t>
      </w:r>
      <w:r>
        <w:rPr>
          <w:rFonts w:hint="eastAsia" w:ascii="仿宋" w:hAnsi="仿宋" w:eastAsia="仿宋"/>
          <w:sz w:val="24"/>
          <w:szCs w:val="24"/>
          <w:highlight w:val="none"/>
        </w:rPr>
        <w:t>至202</w:t>
      </w:r>
      <w:r>
        <w:rPr>
          <w:rFonts w:hint="eastAsia" w:ascii="仿宋" w:hAnsi="仿宋" w:eastAsia="仿宋"/>
          <w:sz w:val="24"/>
          <w:szCs w:val="24"/>
          <w:highlight w:val="none"/>
          <w:lang w:val="en-US" w:eastAsia="zh-CN"/>
        </w:rPr>
        <w:t>8</w:t>
      </w:r>
      <w:r>
        <w:rPr>
          <w:rFonts w:hint="eastAsia" w:ascii="仿宋" w:hAnsi="仿宋" w:eastAsia="仿宋"/>
          <w:sz w:val="24"/>
          <w:szCs w:val="24"/>
          <w:highlight w:val="none"/>
        </w:rPr>
        <w:t>年10月31日</w:t>
      </w:r>
      <w:r>
        <w:rPr>
          <w:rFonts w:hint="eastAsia" w:ascii="仿宋" w:hAnsi="仿宋" w:eastAsia="仿宋"/>
          <w:sz w:val="24"/>
          <w:szCs w:val="24"/>
          <w:highlight w:val="none"/>
          <w:lang w:eastAsia="zh-CN"/>
        </w:rPr>
        <w:t>止</w:t>
      </w:r>
      <w:r>
        <w:rPr>
          <w:rFonts w:hint="eastAsia" w:ascii="仿宋" w:hAnsi="仿宋" w:eastAsia="仿宋"/>
          <w:sz w:val="24"/>
          <w:szCs w:val="24"/>
          <w:highlight w:val="none"/>
        </w:rPr>
        <w:t>。一方如需变更本</w:t>
      </w:r>
      <w:r>
        <w:rPr>
          <w:rFonts w:hint="eastAsia" w:ascii="仿宋" w:hAnsi="仿宋" w:eastAsia="仿宋"/>
          <w:sz w:val="24"/>
          <w:szCs w:val="24"/>
        </w:rPr>
        <w:t>协议的,应当与对方进行协商,并以签订补充协议的方式对本协议进行变更。补充协议自双方签字、盖章之日起生效。</w:t>
      </w:r>
    </w:p>
    <w:p w14:paraId="20F22AA5">
      <w:pPr>
        <w:pStyle w:val="28"/>
        <w:numPr>
          <w:ilvl w:val="0"/>
          <w:numId w:val="16"/>
        </w:numPr>
        <w:spacing w:line="360" w:lineRule="auto"/>
        <w:ind w:left="420" w:hanging="420" w:firstLineChars="0"/>
        <w:rPr>
          <w:rFonts w:ascii="仿宋" w:hAnsi="仿宋" w:eastAsia="仿宋"/>
          <w:sz w:val="24"/>
          <w:szCs w:val="24"/>
        </w:rPr>
      </w:pPr>
      <w:r>
        <w:rPr>
          <w:rFonts w:hint="eastAsia" w:ascii="仿宋" w:hAnsi="仿宋" w:eastAsia="仿宋"/>
          <w:sz w:val="24"/>
          <w:szCs w:val="24"/>
          <w:lang w:eastAsia="zh-CN"/>
        </w:rPr>
        <w:t>甲方的</w:t>
      </w:r>
      <w:r>
        <w:rPr>
          <w:rFonts w:hint="eastAsia" w:ascii="仿宋" w:hAnsi="仿宋" w:eastAsia="仿宋"/>
          <w:sz w:val="24"/>
          <w:szCs w:val="24"/>
        </w:rPr>
        <w:t>中证中小投资者服务中心公车驾驶员租赁服务项目竞争性磋商文件</w:t>
      </w:r>
      <w:r>
        <w:rPr>
          <w:rFonts w:hint="eastAsia" w:ascii="仿宋" w:hAnsi="仿宋" w:eastAsia="仿宋"/>
          <w:sz w:val="24"/>
          <w:szCs w:val="24"/>
          <w:lang w:eastAsia="zh-CN"/>
        </w:rPr>
        <w:t>和乙方对该项目的响应文件是本协议不可分割的一部分。</w:t>
      </w:r>
    </w:p>
    <w:p w14:paraId="65451997">
      <w:pPr>
        <w:pStyle w:val="28"/>
        <w:numPr>
          <w:ilvl w:val="0"/>
          <w:numId w:val="16"/>
        </w:numPr>
        <w:spacing w:line="360" w:lineRule="auto"/>
        <w:ind w:firstLineChars="0"/>
        <w:rPr>
          <w:rFonts w:ascii="仿宋" w:hAnsi="仿宋" w:eastAsia="仿宋"/>
          <w:sz w:val="24"/>
          <w:szCs w:val="24"/>
        </w:rPr>
      </w:pPr>
      <w:r>
        <w:rPr>
          <w:rFonts w:hint="eastAsia" w:ascii="仿宋" w:hAnsi="仿宋" w:eastAsia="仿宋"/>
          <w:sz w:val="24"/>
          <w:szCs w:val="24"/>
        </w:rPr>
        <w:t>双方按照本协议有关规定解除或终止协议的,协议自解除或终止之日起失效。</w:t>
      </w:r>
    </w:p>
    <w:p w14:paraId="44D41093">
      <w:pPr>
        <w:pStyle w:val="28"/>
        <w:numPr>
          <w:ilvl w:val="0"/>
          <w:numId w:val="16"/>
        </w:numPr>
        <w:spacing w:line="360" w:lineRule="auto"/>
        <w:ind w:firstLineChars="0"/>
        <w:rPr>
          <w:rFonts w:ascii="仿宋" w:hAnsi="仿宋" w:eastAsia="仿宋"/>
          <w:sz w:val="24"/>
          <w:szCs w:val="24"/>
        </w:rPr>
      </w:pPr>
      <w:r>
        <w:rPr>
          <w:rFonts w:hint="eastAsia" w:ascii="仿宋" w:hAnsi="仿宋" w:eastAsia="仿宋"/>
          <w:sz w:val="24"/>
          <w:szCs w:val="24"/>
        </w:rPr>
        <w:t>本协议一式肆份,甲</w:t>
      </w:r>
      <w:r>
        <w:rPr>
          <w:rFonts w:hint="eastAsia" w:ascii="仿宋" w:hAnsi="仿宋" w:eastAsia="仿宋"/>
          <w:sz w:val="24"/>
          <w:szCs w:val="24"/>
          <w:lang w:eastAsia="zh-CN"/>
        </w:rPr>
        <w:t>乙双</w:t>
      </w:r>
      <w:r>
        <w:rPr>
          <w:rFonts w:hint="eastAsia" w:ascii="仿宋" w:hAnsi="仿宋" w:eastAsia="仿宋"/>
          <w:sz w:val="24"/>
          <w:szCs w:val="24"/>
        </w:rPr>
        <w:t>方</w:t>
      </w:r>
      <w:r>
        <w:rPr>
          <w:rFonts w:hint="eastAsia" w:ascii="仿宋" w:hAnsi="仿宋" w:eastAsia="仿宋"/>
          <w:sz w:val="24"/>
          <w:szCs w:val="24"/>
          <w:lang w:eastAsia="zh-CN"/>
        </w:rPr>
        <w:t>各</w:t>
      </w:r>
      <w:r>
        <w:rPr>
          <w:rFonts w:hint="eastAsia" w:ascii="仿宋" w:hAnsi="仿宋" w:eastAsia="仿宋"/>
          <w:sz w:val="24"/>
          <w:szCs w:val="24"/>
        </w:rPr>
        <w:t>执</w:t>
      </w:r>
      <w:r>
        <w:rPr>
          <w:rFonts w:hint="eastAsia" w:ascii="仿宋" w:hAnsi="仿宋" w:eastAsia="仿宋"/>
          <w:sz w:val="24"/>
          <w:szCs w:val="24"/>
          <w:lang w:val="en-US" w:eastAsia="zh-CN"/>
        </w:rPr>
        <w:t>2</w:t>
      </w:r>
      <w:r>
        <w:rPr>
          <w:rFonts w:hint="eastAsia" w:ascii="仿宋" w:hAnsi="仿宋" w:eastAsia="仿宋"/>
          <w:sz w:val="24"/>
          <w:szCs w:val="24"/>
        </w:rPr>
        <w:t>份</w:t>
      </w:r>
      <w:r>
        <w:rPr>
          <w:rFonts w:ascii="仿宋" w:hAnsi="仿宋" w:eastAsia="仿宋"/>
          <w:sz w:val="24"/>
          <w:szCs w:val="24"/>
        </w:rPr>
        <w:t>，</w:t>
      </w:r>
      <w:r>
        <w:rPr>
          <w:rFonts w:hint="eastAsia" w:ascii="仿宋" w:hAnsi="仿宋" w:eastAsia="仿宋"/>
          <w:sz w:val="24"/>
          <w:szCs w:val="24"/>
        </w:rPr>
        <w:t>具有同等法律效力。</w:t>
      </w:r>
    </w:p>
    <w:p w14:paraId="38810C15">
      <w:pPr>
        <w:spacing w:line="360" w:lineRule="auto"/>
        <w:rPr>
          <w:rFonts w:ascii="仿宋" w:hAnsi="仿宋" w:eastAsia="仿宋"/>
          <w:sz w:val="24"/>
          <w:szCs w:val="24"/>
        </w:rPr>
      </w:pPr>
    </w:p>
    <w:p w14:paraId="5466F000">
      <w:pPr>
        <w:spacing w:line="360" w:lineRule="auto"/>
        <w:rPr>
          <w:rFonts w:ascii="仿宋" w:hAnsi="仿宋" w:eastAsia="仿宋"/>
          <w:sz w:val="24"/>
          <w:szCs w:val="24"/>
        </w:rPr>
      </w:pPr>
    </w:p>
    <w:p w14:paraId="659D2A72">
      <w:pPr>
        <w:spacing w:line="360" w:lineRule="auto"/>
        <w:rPr>
          <w:rFonts w:ascii="仿宋" w:hAnsi="仿宋" w:eastAsia="仿宋"/>
          <w:sz w:val="24"/>
          <w:szCs w:val="24"/>
        </w:rPr>
      </w:pPr>
    </w:p>
    <w:p w14:paraId="1F364532">
      <w:pPr>
        <w:spacing w:line="360" w:lineRule="auto"/>
        <w:rPr>
          <w:rFonts w:hint="eastAsia" w:ascii="仿宋" w:hAnsi="仿宋" w:eastAsia="仿宋"/>
          <w:sz w:val="24"/>
          <w:szCs w:val="24"/>
          <w:lang w:eastAsia="zh-CN"/>
        </w:rPr>
      </w:pPr>
      <w:r>
        <w:rPr>
          <w:rFonts w:hint="eastAsia" w:ascii="仿宋" w:hAnsi="仿宋" w:eastAsia="仿宋"/>
          <w:sz w:val="24"/>
          <w:szCs w:val="24"/>
        </w:rPr>
        <w:t>甲方（</w:t>
      </w:r>
      <w:r>
        <w:rPr>
          <w:rFonts w:hint="eastAsia" w:ascii="仿宋" w:hAnsi="仿宋" w:eastAsia="仿宋"/>
          <w:sz w:val="24"/>
          <w:szCs w:val="24"/>
          <w:lang w:eastAsia="zh-CN"/>
        </w:rPr>
        <w:t>公章或合同章</w:t>
      </w:r>
      <w:r>
        <w:rPr>
          <w:rFonts w:hint="eastAsia" w:ascii="仿宋" w:hAnsi="仿宋" w:eastAsia="仿宋"/>
          <w:sz w:val="24"/>
          <w:szCs w:val="24"/>
        </w:rPr>
        <w:t>）</w:t>
      </w:r>
      <w:r>
        <w:rPr>
          <w:rFonts w:ascii="仿宋" w:hAnsi="仿宋" w:eastAsia="仿宋"/>
          <w:sz w:val="24"/>
          <w:szCs w:val="24"/>
        </w:rPr>
        <w:t>：</w:t>
      </w:r>
    </w:p>
    <w:p w14:paraId="47766A12">
      <w:pPr>
        <w:spacing w:line="360" w:lineRule="auto"/>
        <w:rPr>
          <w:rFonts w:ascii="仿宋" w:hAnsi="仿宋" w:eastAsia="仿宋"/>
          <w:sz w:val="24"/>
          <w:szCs w:val="24"/>
        </w:rPr>
      </w:pPr>
      <w:r>
        <w:rPr>
          <w:rFonts w:hint="eastAsia" w:ascii="仿宋" w:hAnsi="仿宋" w:eastAsia="仿宋"/>
          <w:sz w:val="24"/>
          <w:szCs w:val="24"/>
        </w:rPr>
        <w:t>日期</w:t>
      </w:r>
      <w:r>
        <w:rPr>
          <w:rFonts w:ascii="仿宋" w:hAnsi="仿宋" w:eastAsia="仿宋"/>
          <w:sz w:val="24"/>
          <w:szCs w:val="24"/>
        </w:rPr>
        <w:t>：</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rPr>
        <w:t>年   月   日</w:t>
      </w:r>
    </w:p>
    <w:p w14:paraId="00356539">
      <w:pPr>
        <w:spacing w:line="360" w:lineRule="auto"/>
        <w:rPr>
          <w:rFonts w:hint="eastAsia" w:ascii="仿宋" w:hAnsi="仿宋" w:eastAsia="仿宋"/>
          <w:sz w:val="24"/>
          <w:szCs w:val="24"/>
        </w:rPr>
      </w:pPr>
    </w:p>
    <w:p w14:paraId="1F4692CF">
      <w:pPr>
        <w:spacing w:line="360" w:lineRule="auto"/>
        <w:rPr>
          <w:rFonts w:ascii="仿宋" w:hAnsi="仿宋" w:eastAsia="仿宋"/>
          <w:sz w:val="24"/>
          <w:szCs w:val="24"/>
        </w:rPr>
      </w:pPr>
      <w:r>
        <w:rPr>
          <w:rFonts w:hint="eastAsia" w:ascii="仿宋" w:hAnsi="仿宋" w:eastAsia="仿宋"/>
          <w:sz w:val="24"/>
          <w:szCs w:val="24"/>
        </w:rPr>
        <w:t>乙方（</w:t>
      </w:r>
      <w:r>
        <w:rPr>
          <w:rFonts w:hint="eastAsia" w:ascii="仿宋" w:hAnsi="仿宋" w:eastAsia="仿宋"/>
          <w:sz w:val="24"/>
          <w:szCs w:val="24"/>
          <w:lang w:eastAsia="zh-CN"/>
        </w:rPr>
        <w:t>公章或合同章</w:t>
      </w:r>
      <w:r>
        <w:rPr>
          <w:rFonts w:hint="eastAsia" w:ascii="仿宋" w:hAnsi="仿宋" w:eastAsia="仿宋"/>
          <w:sz w:val="24"/>
          <w:szCs w:val="24"/>
        </w:rPr>
        <w:t>）</w:t>
      </w:r>
      <w:r>
        <w:rPr>
          <w:rFonts w:ascii="仿宋" w:hAnsi="仿宋" w:eastAsia="仿宋"/>
          <w:sz w:val="24"/>
          <w:szCs w:val="24"/>
        </w:rPr>
        <w:t>：</w:t>
      </w:r>
    </w:p>
    <w:p w14:paraId="4DD28761">
      <w:pPr>
        <w:spacing w:line="360" w:lineRule="auto"/>
        <w:rPr>
          <w:rFonts w:hint="eastAsia" w:ascii="仿宋_GB2312" w:hAnsi="黑体" w:eastAsia="仿宋_GB2312"/>
          <w:sz w:val="28"/>
          <w:szCs w:val="28"/>
          <w:highlight w:val="none"/>
        </w:rPr>
      </w:pPr>
      <w:r>
        <w:rPr>
          <w:rFonts w:hint="eastAsia" w:ascii="仿宋" w:hAnsi="仿宋" w:eastAsia="仿宋"/>
          <w:sz w:val="24"/>
          <w:szCs w:val="24"/>
        </w:rPr>
        <w:t>日期</w:t>
      </w:r>
      <w:r>
        <w:rPr>
          <w:rFonts w:ascii="仿宋" w:hAnsi="仿宋" w:eastAsia="仿宋"/>
          <w:sz w:val="24"/>
          <w:szCs w:val="24"/>
        </w:rPr>
        <w:t>：</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rPr>
        <w:t xml:space="preserve">年   月   日     </w:t>
      </w:r>
    </w:p>
    <w:sectPr>
      <w:footerReference r:id="rId5" w:type="first"/>
      <w:headerReference r:id="rId3" w:type="default"/>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Optimum">
    <w:altName w:val="宋体"/>
    <w:panose1 w:val="00000000000000000000"/>
    <w:charset w:val="86"/>
    <w:family w:val="roma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Batang">
    <w:panose1 w:val="02030600000101010101"/>
    <w:charset w:val="81"/>
    <w:family w:val="auto"/>
    <w:pitch w:val="default"/>
    <w:sig w:usb0="B00002AF" w:usb1="69D77CFB" w:usb2="00000030" w:usb3="00000000" w:csb0="4008009F" w:csb1="DFD70000"/>
  </w:font>
  <w:font w:name="微软雅黑 Light">
    <w:panose1 w:val="020B0502040204020203"/>
    <w:charset w:val="86"/>
    <w:family w:val="auto"/>
    <w:pitch w:val="default"/>
    <w:sig w:usb0="80000287" w:usb1="2ACF0010" w:usb2="00000016" w:usb3="00000000" w:csb0="0004001F" w:csb1="00000000"/>
  </w:font>
  <w:font w:name="Bitstream Charter">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417665"/>
      <w:docPartObj>
        <w:docPartGallery w:val="autotext"/>
      </w:docPartObj>
    </w:sdtPr>
    <w:sdtContent>
      <w:p w14:paraId="6AD3DA2C">
        <w:pPr>
          <w:pStyle w:val="5"/>
          <w:jc w:val="center"/>
        </w:pPr>
        <w:r>
          <w:fldChar w:fldCharType="begin"/>
        </w:r>
        <w:r>
          <w:instrText xml:space="preserve"> PAGE   \* MERGEFORMAT </w:instrText>
        </w:r>
        <w:r>
          <w:fldChar w:fldCharType="separate"/>
        </w:r>
        <w:r>
          <w:rPr>
            <w:lang w:val="zh-CN"/>
          </w:rPr>
          <w:t>2</w:t>
        </w:r>
        <w:r>
          <w:rPr>
            <w:lang w:val="zh-CN"/>
          </w:rPr>
          <w:fldChar w:fldCharType="end"/>
        </w:r>
      </w:p>
    </w:sdtContent>
  </w:sdt>
  <w:p w14:paraId="6620C5FD">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2BCD9">
    <w:pPr>
      <w:pStyle w:val="5"/>
    </w:pPr>
    <w:r>
      <w:rPr>
        <w:rFonts w:hint="eastAsia"/>
      </w:rPr>
      <w:t>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F107D">
    <w:pPr>
      <w:pStyle w:val="6"/>
      <w:pBdr>
        <w:top w:val="none" w:color="auto" w:sz="0" w:space="0"/>
        <w:left w:val="none" w:color="auto" w:sz="0" w:space="0"/>
        <w:bottom w:val="none" w:color="auto" w:sz="0" w:space="1"/>
        <w:right w:val="none" w:color="auto" w:sz="0" w:space="0"/>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3F7586"/>
    <w:multiLevelType w:val="multilevel"/>
    <w:tmpl w:val="093F7586"/>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95676D"/>
    <w:multiLevelType w:val="multilevel"/>
    <w:tmpl w:val="1095676D"/>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4B34D9E"/>
    <w:multiLevelType w:val="multilevel"/>
    <w:tmpl w:val="14B34D9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65F61F7"/>
    <w:multiLevelType w:val="multilevel"/>
    <w:tmpl w:val="165F61F7"/>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9690F15"/>
    <w:multiLevelType w:val="multilevel"/>
    <w:tmpl w:val="19690F1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9CD74E4"/>
    <w:multiLevelType w:val="multilevel"/>
    <w:tmpl w:val="19CD74E4"/>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504266A"/>
    <w:multiLevelType w:val="multilevel"/>
    <w:tmpl w:val="3504266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92D33C2"/>
    <w:multiLevelType w:val="multilevel"/>
    <w:tmpl w:val="392D33C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A915A6F"/>
    <w:multiLevelType w:val="multilevel"/>
    <w:tmpl w:val="4A915A6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4AFA1C50"/>
    <w:multiLevelType w:val="multilevel"/>
    <w:tmpl w:val="4AFA1C50"/>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BCC7CFF"/>
    <w:multiLevelType w:val="multilevel"/>
    <w:tmpl w:val="5BCC7CF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BF17D57"/>
    <w:multiLevelType w:val="multilevel"/>
    <w:tmpl w:val="5BF17D5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62855138"/>
    <w:multiLevelType w:val="multilevel"/>
    <w:tmpl w:val="6285513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65CE6123"/>
    <w:multiLevelType w:val="multilevel"/>
    <w:tmpl w:val="65CE6123"/>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688D2683"/>
    <w:multiLevelType w:val="multilevel"/>
    <w:tmpl w:val="688D2683"/>
    <w:lvl w:ilvl="0" w:tentative="0">
      <w:start w:val="1"/>
      <w:numFmt w:val="japaneseCounting"/>
      <w:lvlText w:val="第%1章"/>
      <w:lvlJc w:val="left"/>
      <w:pPr>
        <w:ind w:left="1050" w:hanging="10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E255D40"/>
    <w:multiLevelType w:val="multilevel"/>
    <w:tmpl w:val="6E255D40"/>
    <w:lvl w:ilvl="0" w:tentative="0">
      <w:start w:val="1"/>
      <w:numFmt w:val="decimal"/>
      <w:lvlText w:val="%1、"/>
      <w:lvlJc w:val="left"/>
      <w:pPr>
        <w:ind w:left="420" w:hanging="420"/>
      </w:pPr>
      <w:rPr>
        <w:rFonts w:hint="eastAsia"/>
        <w:spacing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4"/>
  </w:num>
  <w:num w:numId="2">
    <w:abstractNumId w:val="1"/>
  </w:num>
  <w:num w:numId="3">
    <w:abstractNumId w:val="0"/>
  </w:num>
  <w:num w:numId="4">
    <w:abstractNumId w:val="3"/>
  </w:num>
  <w:num w:numId="5">
    <w:abstractNumId w:val="13"/>
  </w:num>
  <w:num w:numId="6">
    <w:abstractNumId w:val="9"/>
  </w:num>
  <w:num w:numId="7">
    <w:abstractNumId w:val="5"/>
  </w:num>
  <w:num w:numId="8">
    <w:abstractNumId w:val="15"/>
  </w:num>
  <w:num w:numId="9">
    <w:abstractNumId w:val="10"/>
  </w:num>
  <w:num w:numId="10">
    <w:abstractNumId w:val="4"/>
  </w:num>
  <w:num w:numId="11">
    <w:abstractNumId w:val="12"/>
  </w:num>
  <w:num w:numId="12">
    <w:abstractNumId w:val="6"/>
  </w:num>
  <w:num w:numId="13">
    <w:abstractNumId w:val="8"/>
  </w:num>
  <w:num w:numId="14">
    <w:abstractNumId w:val="11"/>
  </w:num>
  <w:num w:numId="15">
    <w:abstractNumId w:val="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4NjgyNzA2NjgwOWZkMTAzZjkzMWRmZjY2ODUwYTEifQ=="/>
  </w:docVars>
  <w:rsids>
    <w:rsidRoot w:val="0070291F"/>
    <w:rsid w:val="00027AB8"/>
    <w:rsid w:val="0004264B"/>
    <w:rsid w:val="0006715A"/>
    <w:rsid w:val="00071427"/>
    <w:rsid w:val="000809C2"/>
    <w:rsid w:val="00081F21"/>
    <w:rsid w:val="00082390"/>
    <w:rsid w:val="00091C30"/>
    <w:rsid w:val="000949CC"/>
    <w:rsid w:val="000B5182"/>
    <w:rsid w:val="000B6637"/>
    <w:rsid w:val="000C6C05"/>
    <w:rsid w:val="001335BD"/>
    <w:rsid w:val="001420B7"/>
    <w:rsid w:val="00142BAC"/>
    <w:rsid w:val="001739A2"/>
    <w:rsid w:val="001C1CAC"/>
    <w:rsid w:val="001E5154"/>
    <w:rsid w:val="001F3D88"/>
    <w:rsid w:val="00217834"/>
    <w:rsid w:val="00240A60"/>
    <w:rsid w:val="0025092D"/>
    <w:rsid w:val="00272D8F"/>
    <w:rsid w:val="002772BE"/>
    <w:rsid w:val="00285C5D"/>
    <w:rsid w:val="00294C99"/>
    <w:rsid w:val="002A094E"/>
    <w:rsid w:val="002A10A0"/>
    <w:rsid w:val="002A5DCB"/>
    <w:rsid w:val="002C131F"/>
    <w:rsid w:val="002C3DCC"/>
    <w:rsid w:val="002D0238"/>
    <w:rsid w:val="00300268"/>
    <w:rsid w:val="00317795"/>
    <w:rsid w:val="00355E4B"/>
    <w:rsid w:val="003563C8"/>
    <w:rsid w:val="00360487"/>
    <w:rsid w:val="00364923"/>
    <w:rsid w:val="00366CA9"/>
    <w:rsid w:val="00372C5C"/>
    <w:rsid w:val="00376FEB"/>
    <w:rsid w:val="003823B0"/>
    <w:rsid w:val="00411F3B"/>
    <w:rsid w:val="00431D14"/>
    <w:rsid w:val="00451304"/>
    <w:rsid w:val="0047244F"/>
    <w:rsid w:val="00480A32"/>
    <w:rsid w:val="00491FEE"/>
    <w:rsid w:val="004F137C"/>
    <w:rsid w:val="00545B71"/>
    <w:rsid w:val="005603BE"/>
    <w:rsid w:val="00561A4F"/>
    <w:rsid w:val="00564C26"/>
    <w:rsid w:val="00566FF4"/>
    <w:rsid w:val="005717D7"/>
    <w:rsid w:val="005908BC"/>
    <w:rsid w:val="005A63F0"/>
    <w:rsid w:val="005C5498"/>
    <w:rsid w:val="005F29A3"/>
    <w:rsid w:val="005F3DA1"/>
    <w:rsid w:val="005F6BAB"/>
    <w:rsid w:val="0060213A"/>
    <w:rsid w:val="00610531"/>
    <w:rsid w:val="00614232"/>
    <w:rsid w:val="006212B2"/>
    <w:rsid w:val="0062131C"/>
    <w:rsid w:val="00654CAB"/>
    <w:rsid w:val="00672C26"/>
    <w:rsid w:val="00677ACE"/>
    <w:rsid w:val="006875E8"/>
    <w:rsid w:val="006A0672"/>
    <w:rsid w:val="006A41EE"/>
    <w:rsid w:val="006D7A75"/>
    <w:rsid w:val="006F36D4"/>
    <w:rsid w:val="0070291F"/>
    <w:rsid w:val="00757995"/>
    <w:rsid w:val="007674C2"/>
    <w:rsid w:val="007928BD"/>
    <w:rsid w:val="007947ED"/>
    <w:rsid w:val="00794AD4"/>
    <w:rsid w:val="0079659C"/>
    <w:rsid w:val="007C160D"/>
    <w:rsid w:val="007C551A"/>
    <w:rsid w:val="007F5116"/>
    <w:rsid w:val="00842273"/>
    <w:rsid w:val="00855C53"/>
    <w:rsid w:val="0085770A"/>
    <w:rsid w:val="008832CA"/>
    <w:rsid w:val="008874CA"/>
    <w:rsid w:val="008A1937"/>
    <w:rsid w:val="008A5903"/>
    <w:rsid w:val="008C4DE6"/>
    <w:rsid w:val="008D3F27"/>
    <w:rsid w:val="008E1CFD"/>
    <w:rsid w:val="009022B4"/>
    <w:rsid w:val="00915312"/>
    <w:rsid w:val="00920AA9"/>
    <w:rsid w:val="009240F4"/>
    <w:rsid w:val="0094251B"/>
    <w:rsid w:val="00945D1F"/>
    <w:rsid w:val="009474B7"/>
    <w:rsid w:val="00961FA0"/>
    <w:rsid w:val="009A6CA7"/>
    <w:rsid w:val="009B39CA"/>
    <w:rsid w:val="009C15BA"/>
    <w:rsid w:val="009C68A5"/>
    <w:rsid w:val="009E59E7"/>
    <w:rsid w:val="009F0417"/>
    <w:rsid w:val="009F67AE"/>
    <w:rsid w:val="00A32715"/>
    <w:rsid w:val="00A34932"/>
    <w:rsid w:val="00A873B0"/>
    <w:rsid w:val="00A90F73"/>
    <w:rsid w:val="00A921DD"/>
    <w:rsid w:val="00A9786C"/>
    <w:rsid w:val="00AB58D2"/>
    <w:rsid w:val="00AC6794"/>
    <w:rsid w:val="00AE2BBF"/>
    <w:rsid w:val="00AF4321"/>
    <w:rsid w:val="00AF7864"/>
    <w:rsid w:val="00B05E6B"/>
    <w:rsid w:val="00B07870"/>
    <w:rsid w:val="00B07B07"/>
    <w:rsid w:val="00B165F5"/>
    <w:rsid w:val="00B41794"/>
    <w:rsid w:val="00B438A2"/>
    <w:rsid w:val="00B47881"/>
    <w:rsid w:val="00B959CF"/>
    <w:rsid w:val="00BC7310"/>
    <w:rsid w:val="00BD019A"/>
    <w:rsid w:val="00BE1962"/>
    <w:rsid w:val="00C007E2"/>
    <w:rsid w:val="00C01F33"/>
    <w:rsid w:val="00C02803"/>
    <w:rsid w:val="00C2758B"/>
    <w:rsid w:val="00C303BF"/>
    <w:rsid w:val="00C600EC"/>
    <w:rsid w:val="00C65F0B"/>
    <w:rsid w:val="00CA2B1E"/>
    <w:rsid w:val="00CA368F"/>
    <w:rsid w:val="00CB3732"/>
    <w:rsid w:val="00CB7C39"/>
    <w:rsid w:val="00CD056C"/>
    <w:rsid w:val="00CF1F90"/>
    <w:rsid w:val="00D020E9"/>
    <w:rsid w:val="00D124C6"/>
    <w:rsid w:val="00D153A8"/>
    <w:rsid w:val="00D22647"/>
    <w:rsid w:val="00D43EA6"/>
    <w:rsid w:val="00D45A74"/>
    <w:rsid w:val="00D7193C"/>
    <w:rsid w:val="00D77F70"/>
    <w:rsid w:val="00D97735"/>
    <w:rsid w:val="00DB19D3"/>
    <w:rsid w:val="00DC7F73"/>
    <w:rsid w:val="00DD0365"/>
    <w:rsid w:val="00DD5B38"/>
    <w:rsid w:val="00DE4A0A"/>
    <w:rsid w:val="00E25D1C"/>
    <w:rsid w:val="00E4452B"/>
    <w:rsid w:val="00E57B60"/>
    <w:rsid w:val="00E66348"/>
    <w:rsid w:val="00E67367"/>
    <w:rsid w:val="00E7482B"/>
    <w:rsid w:val="00E93324"/>
    <w:rsid w:val="00EA0872"/>
    <w:rsid w:val="00EE1406"/>
    <w:rsid w:val="00EF16FF"/>
    <w:rsid w:val="00EF70E7"/>
    <w:rsid w:val="00F254CA"/>
    <w:rsid w:val="00F26367"/>
    <w:rsid w:val="00F96553"/>
    <w:rsid w:val="00FB7622"/>
    <w:rsid w:val="00FF4076"/>
    <w:rsid w:val="028021E2"/>
    <w:rsid w:val="02BC7B5E"/>
    <w:rsid w:val="035E6DD6"/>
    <w:rsid w:val="06BC6527"/>
    <w:rsid w:val="0AC967EA"/>
    <w:rsid w:val="0C8678C1"/>
    <w:rsid w:val="0DD158FD"/>
    <w:rsid w:val="0EE505E5"/>
    <w:rsid w:val="11836E95"/>
    <w:rsid w:val="154C0CC3"/>
    <w:rsid w:val="1677582F"/>
    <w:rsid w:val="19815FCF"/>
    <w:rsid w:val="1BC4458A"/>
    <w:rsid w:val="1C204226"/>
    <w:rsid w:val="1E25719A"/>
    <w:rsid w:val="21FC60F3"/>
    <w:rsid w:val="2ADB05F6"/>
    <w:rsid w:val="2BE3211A"/>
    <w:rsid w:val="2EBF2353"/>
    <w:rsid w:val="30D53FF2"/>
    <w:rsid w:val="32946EAA"/>
    <w:rsid w:val="37305FF2"/>
    <w:rsid w:val="38341229"/>
    <w:rsid w:val="397B74C9"/>
    <w:rsid w:val="39F93908"/>
    <w:rsid w:val="3B2F02AB"/>
    <w:rsid w:val="3EA70C2A"/>
    <w:rsid w:val="41941DCE"/>
    <w:rsid w:val="425E0452"/>
    <w:rsid w:val="435A7F52"/>
    <w:rsid w:val="468F0A5F"/>
    <w:rsid w:val="49E57820"/>
    <w:rsid w:val="4A2F3EE7"/>
    <w:rsid w:val="4ADD3B36"/>
    <w:rsid w:val="4AF60EA8"/>
    <w:rsid w:val="4C442CDD"/>
    <w:rsid w:val="4FBC1A62"/>
    <w:rsid w:val="56DD72B6"/>
    <w:rsid w:val="57B3C027"/>
    <w:rsid w:val="57F52770"/>
    <w:rsid w:val="586562D5"/>
    <w:rsid w:val="59456951"/>
    <w:rsid w:val="5BED9768"/>
    <w:rsid w:val="5EDF2903"/>
    <w:rsid w:val="5EFEA0B5"/>
    <w:rsid w:val="5FFF50BC"/>
    <w:rsid w:val="604A609D"/>
    <w:rsid w:val="60D603D4"/>
    <w:rsid w:val="60DF1AAA"/>
    <w:rsid w:val="63FF5D76"/>
    <w:rsid w:val="68D5229E"/>
    <w:rsid w:val="6D8243CD"/>
    <w:rsid w:val="6E5F8546"/>
    <w:rsid w:val="6F5C2C80"/>
    <w:rsid w:val="718C74F3"/>
    <w:rsid w:val="755E0B4E"/>
    <w:rsid w:val="76592D83"/>
    <w:rsid w:val="77BFBD0C"/>
    <w:rsid w:val="793F3B2A"/>
    <w:rsid w:val="7BF145B3"/>
    <w:rsid w:val="7D5DA64D"/>
    <w:rsid w:val="7DAC3C15"/>
    <w:rsid w:val="7DBA90C5"/>
    <w:rsid w:val="7DBB6602"/>
    <w:rsid w:val="7E09B616"/>
    <w:rsid w:val="7FDDBA1F"/>
    <w:rsid w:val="7FE6B69F"/>
    <w:rsid w:val="7FEAECD5"/>
    <w:rsid w:val="7FFBBE3B"/>
    <w:rsid w:val="7FFEE30C"/>
    <w:rsid w:val="B3F7317C"/>
    <w:rsid w:val="BDDC2EA0"/>
    <w:rsid w:val="BFE7D64A"/>
    <w:rsid w:val="CBF9A8EE"/>
    <w:rsid w:val="D9D6CF26"/>
    <w:rsid w:val="DCEFB0AF"/>
    <w:rsid w:val="DDFFAE63"/>
    <w:rsid w:val="DEEF6286"/>
    <w:rsid w:val="F7FF0EEF"/>
    <w:rsid w:val="FE7C9AE9"/>
    <w:rsid w:val="FF7ECD24"/>
    <w:rsid w:val="FFADAF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9"/>
    <w:semiHidden/>
    <w:unhideWhenUsed/>
    <w:qFormat/>
    <w:uiPriority w:val="99"/>
    <w:pPr>
      <w:jc w:val="left"/>
    </w:pPr>
  </w:style>
  <w:style w:type="paragraph" w:styleId="4">
    <w:name w:val="Balloon Text"/>
    <w:basedOn w:val="1"/>
    <w:link w:val="20"/>
    <w:semiHidden/>
    <w:unhideWhenUsed/>
    <w:qFormat/>
    <w:uiPriority w:val="99"/>
    <w:rPr>
      <w:sz w:val="18"/>
      <w:szCs w:val="18"/>
    </w:rPr>
  </w:style>
  <w:style w:type="paragraph" w:styleId="5">
    <w:name w:val="footer"/>
    <w:basedOn w:val="1"/>
    <w:link w:val="24"/>
    <w:unhideWhenUsed/>
    <w:qFormat/>
    <w:uiPriority w:val="99"/>
    <w:pPr>
      <w:tabs>
        <w:tab w:val="center" w:pos="4153"/>
        <w:tab w:val="right" w:pos="8306"/>
      </w:tabs>
      <w:snapToGrid w:val="0"/>
      <w:jc w:val="left"/>
    </w:pPr>
    <w:rPr>
      <w:sz w:val="18"/>
      <w:szCs w:val="18"/>
    </w:rPr>
  </w:style>
  <w:style w:type="paragraph" w:styleId="6">
    <w:name w:val="header"/>
    <w:basedOn w:val="1"/>
    <w:link w:val="23"/>
    <w:unhideWhenUsed/>
    <w:qFormat/>
    <w:uiPriority w:val="99"/>
    <w:pPr>
      <w:pBdr>
        <w:bottom w:val="single" w:color="auto" w:sz="6" w:space="1"/>
      </w:pBdr>
      <w:tabs>
        <w:tab w:val="center" w:pos="4153"/>
        <w:tab w:val="right" w:pos="8306"/>
      </w:tabs>
      <w:snapToGrid w:val="0"/>
      <w:jc w:val="left"/>
    </w:pPr>
    <w:rPr>
      <w:sz w:val="18"/>
      <w:szCs w:val="18"/>
    </w:rPr>
  </w:style>
  <w:style w:type="paragraph" w:styleId="7">
    <w:name w:val="toc 1"/>
    <w:basedOn w:val="1"/>
    <w:next w:val="1"/>
    <w:unhideWhenUsed/>
    <w:qFormat/>
    <w:uiPriority w:val="39"/>
    <w:pPr>
      <w:tabs>
        <w:tab w:val="left" w:pos="1050"/>
        <w:tab w:val="right" w:leader="dot" w:pos="8296"/>
      </w:tabs>
      <w:jc w:val="center"/>
    </w:pPr>
    <w:rPr>
      <w:rFonts w:ascii="仿宋_GB2312" w:hAnsi="黑体" w:eastAsia="仿宋_GB2312"/>
      <w:b/>
      <w:sz w:val="44"/>
      <w:szCs w:val="44"/>
    </w:rPr>
  </w:style>
  <w:style w:type="paragraph" w:styleId="8">
    <w:name w:val="toc 2"/>
    <w:basedOn w:val="1"/>
    <w:next w:val="1"/>
    <w:unhideWhenUsed/>
    <w:qFormat/>
    <w:uiPriority w:val="39"/>
    <w:pPr>
      <w:ind w:left="420" w:leftChars="200"/>
    </w:p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0">
    <w:name w:val="annotation subject"/>
    <w:basedOn w:val="3"/>
    <w:next w:val="3"/>
    <w:link w:val="25"/>
    <w:semiHidden/>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rPr>
  </w:style>
  <w:style w:type="character" w:styleId="15">
    <w:name w:val="FollowedHyperlink"/>
    <w:basedOn w:val="13"/>
    <w:semiHidden/>
    <w:unhideWhenUsed/>
    <w:qFormat/>
    <w:uiPriority w:val="99"/>
    <w:rPr>
      <w:color w:val="333333"/>
      <w:u w:val="none"/>
    </w:rPr>
  </w:style>
  <w:style w:type="character" w:styleId="16">
    <w:name w:val="Hyperlink"/>
    <w:basedOn w:val="13"/>
    <w:unhideWhenUsed/>
    <w:qFormat/>
    <w:uiPriority w:val="99"/>
    <w:rPr>
      <w:color w:val="0000FF" w:themeColor="hyperlink"/>
      <w:u w:val="single"/>
      <w14:textFill>
        <w14:solidFill>
          <w14:schemeClr w14:val="hlink"/>
        </w14:solidFill>
      </w14:textFill>
    </w:rPr>
  </w:style>
  <w:style w:type="character" w:styleId="17">
    <w:name w:val="annotation reference"/>
    <w:basedOn w:val="13"/>
    <w:semiHidden/>
    <w:unhideWhenUsed/>
    <w:qFormat/>
    <w:uiPriority w:val="99"/>
    <w:rPr>
      <w:sz w:val="21"/>
      <w:szCs w:val="21"/>
    </w:rPr>
  </w:style>
  <w:style w:type="paragraph" w:styleId="18">
    <w:name w:val="List Paragraph"/>
    <w:basedOn w:val="1"/>
    <w:qFormat/>
    <w:uiPriority w:val="34"/>
    <w:pPr>
      <w:ind w:firstLine="420" w:firstLineChars="200"/>
    </w:pPr>
  </w:style>
  <w:style w:type="character" w:customStyle="1" w:styleId="19">
    <w:name w:val="批注文字 字符"/>
    <w:basedOn w:val="13"/>
    <w:link w:val="3"/>
    <w:semiHidden/>
    <w:qFormat/>
    <w:uiPriority w:val="99"/>
  </w:style>
  <w:style w:type="character" w:customStyle="1" w:styleId="20">
    <w:name w:val="批注框文本 字符"/>
    <w:basedOn w:val="13"/>
    <w:link w:val="4"/>
    <w:semiHidden/>
    <w:qFormat/>
    <w:uiPriority w:val="99"/>
    <w:rPr>
      <w:sz w:val="18"/>
      <w:szCs w:val="18"/>
    </w:rPr>
  </w:style>
  <w:style w:type="character" w:customStyle="1" w:styleId="21">
    <w:name w:val="标题 1 字符"/>
    <w:basedOn w:val="13"/>
    <w:link w:val="2"/>
    <w:qFormat/>
    <w:uiPriority w:val="9"/>
    <w:rPr>
      <w:b/>
      <w:bCs/>
      <w:kern w:val="44"/>
      <w:sz w:val="44"/>
      <w:szCs w:val="44"/>
    </w:rPr>
  </w:style>
  <w:style w:type="paragraph" w:customStyle="1" w:styleId="22">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3">
    <w:name w:val="页眉 字符"/>
    <w:basedOn w:val="13"/>
    <w:link w:val="6"/>
    <w:qFormat/>
    <w:uiPriority w:val="99"/>
    <w:rPr>
      <w:sz w:val="18"/>
      <w:szCs w:val="18"/>
    </w:rPr>
  </w:style>
  <w:style w:type="character" w:customStyle="1" w:styleId="24">
    <w:name w:val="页脚 字符"/>
    <w:basedOn w:val="13"/>
    <w:link w:val="5"/>
    <w:qFormat/>
    <w:uiPriority w:val="99"/>
    <w:rPr>
      <w:sz w:val="18"/>
      <w:szCs w:val="18"/>
    </w:rPr>
  </w:style>
  <w:style w:type="character" w:customStyle="1" w:styleId="25">
    <w:name w:val="批注主题 字符"/>
    <w:basedOn w:val="19"/>
    <w:link w:val="10"/>
    <w:semiHidden/>
    <w:qFormat/>
    <w:uiPriority w:val="99"/>
    <w:rPr>
      <w:b/>
      <w:bCs/>
    </w:rPr>
  </w:style>
  <w:style w:type="character" w:styleId="26">
    <w:name w:val="Placeholder Text"/>
    <w:basedOn w:val="13"/>
    <w:semiHidden/>
    <w:qFormat/>
    <w:uiPriority w:val="99"/>
    <w:rPr>
      <w:color w:val="808080"/>
    </w:rPr>
  </w:style>
  <w:style w:type="paragraph" w:customStyle="1" w:styleId="27">
    <w:name w:val="Default"/>
    <w:qFormat/>
    <w:uiPriority w:val="0"/>
    <w:pPr>
      <w:widowControl w:val="0"/>
      <w:autoSpaceDE w:val="0"/>
      <w:autoSpaceDN w:val="0"/>
      <w:adjustRightInd w:val="0"/>
    </w:pPr>
    <w:rPr>
      <w:rFonts w:ascii="Optimum" w:hAnsi="Times New Roman" w:eastAsia="Optimum" w:cs="Times New Roman"/>
      <w:color w:val="000000"/>
      <w:kern w:val="0"/>
      <w:sz w:val="24"/>
      <w:szCs w:val="24"/>
      <w:lang w:val="en-US" w:eastAsia="zh-CN" w:bidi="ar-SA"/>
    </w:rPr>
  </w:style>
  <w:style w:type="paragraph" w:customStyle="1" w:styleId="28">
    <w:name w:val="列出段落1"/>
    <w:basedOn w:val="1"/>
    <w:qFormat/>
    <w:uiPriority w:val="34"/>
    <w:pPr>
      <w:ind w:firstLine="420" w:firstLineChars="200"/>
    </w:pPr>
  </w:style>
  <w:style w:type="character" w:customStyle="1" w:styleId="29">
    <w:name w:val="font11"/>
    <w:basedOn w:val="13"/>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 Company</Company>
  <Pages>10</Pages>
  <Words>11020</Words>
  <Characters>11391</Characters>
  <Lines>18</Lines>
  <Paragraphs>5</Paragraphs>
  <TotalTime>26</TotalTime>
  <ScaleCrop>false</ScaleCrop>
  <LinksUpToDate>false</LinksUpToDate>
  <CharactersWithSpaces>11583</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2019-11-17T18:19:00Z</dcterms:created>
  <dc:creator>csindex_yuanchen</dc:creator>
  <cp:lastModifiedBy>hffei</cp:lastModifiedBy>
  <cp:lastPrinted>2022-06-21T22:11:00Z</cp:lastPrinted>
  <dcterms:modified xsi:type="dcterms:W3CDTF">2026-09-11T16:38:46Z</dcterms:modified>
  <cp:revision>153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D2E953705F264CA3A180159B3B655503</vt:lpwstr>
  </property>
</Properties>
</file>